
<file path=[Content_Types].xml><?xml version="1.0" encoding="utf-8"?>
<Types xmlns="http://schemas.openxmlformats.org/package/2006/content-types">
  <Default Extension="fntdata" ContentType="application/x-fontdata"/>
  <Default Extension="jpeg" ContentType="image/jpeg"/>
  <Default Extension="png" ContentType="image/png"/>
  <Default Extension="rels" ContentType="application/vnd.openxmlformats-package.relationships+xml"/>
  <Default Extension="xml" ContentType="application/xml"/>
  <Override PartName="/word/styles.xml" ContentType="application/vnd.openxmlformats-officedocument.wordprocessingml.styles+xml"/>
  <Override PartName="/word/footer1.xml" ContentType="application/vnd.openxmlformats-officedocument.wordprocessingml.footer+xml"/>
  <Override PartName="/word/document.xml" ContentType="application/vnd.openxmlformats-officedocument.wordprocessingml.document.main+xml"/>
  <Override PartName="/word/numbering.xml" ContentType="application/vnd.openxmlformats-officedocument.wordprocessingml.numbering+xml"/>
  <Override PartName="/word/settings.xml" ContentType="application/vnd.openxmlformats-officedocument.wordprocessingml.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jc w:val="center"/>
        <w:rPr>
          <w:rFonts w:ascii="Calibri" w:hAnsi="Calibri"/>
          <w:b/>
          <w:bCs/>
          <w:i/>
          <w:iCs/>
          <w:sz w:val="48"/>
          <w:szCs w:val="48"/>
        </w:rPr>
      </w:pPr>
      <w:r>
        <w:rPr>
          <w:rFonts w:ascii="Calibri" w:hAnsi="Calibri"/>
          <w:b/>
          <w:bCs/>
          <w:i/>
          <w:iCs/>
          <w:sz w:val="48"/>
          <w:szCs w:val="48"/>
        </w:rPr>
      </w:r>
    </w:p>
    <w:p>
      <w:pPr>
        <w:pStyle w:val="Normal"/>
        <w:jc w:val="center"/>
        <w:rPr>
          <w:rFonts w:ascii="Calibri" w:hAnsi="Calibri"/>
          <w:b/>
          <w:bCs/>
          <w:i/>
          <w:iCs/>
          <w:sz w:val="48"/>
          <w:szCs w:val="48"/>
        </w:rPr>
      </w:pPr>
      <w:r>
        <w:rPr>
          <w:rFonts w:ascii="Calibri" w:hAnsi="Calibri"/>
          <w:b/>
          <w:bCs/>
          <w:i/>
          <w:iCs/>
          <w:sz w:val="48"/>
          <w:szCs w:val="48"/>
        </w:rPr>
      </w:r>
    </w:p>
    <w:p>
      <w:pPr>
        <w:pStyle w:val="Normal"/>
        <w:jc w:val="center"/>
        <w:rPr>
          <w:rStyle w:val="Domylnaczcionkaakapitu"/>
          <w:rFonts w:ascii="Calibri" w:hAnsi="Calibri"/>
          <w:b/>
          <w:bCs/>
          <w:i/>
          <w:iCs/>
          <w:sz w:val="48"/>
          <w:szCs w:val="48"/>
        </w:rPr>
      </w:pPr>
      <w:r>
        <w:rPr/>
        <w:drawing>
          <wp:anchor distT="0" distB="0" distL="0" distR="0" simplePos="0" relativeHeight="2" behindDoc="0" locked="0" layoutInCell="0" allowOverlap="1">
            <wp:simplePos x="0" y="0"/>
            <wp:positionH relativeFrom="column">
              <wp:posOffset>2188210</wp:posOffset>
            </wp:positionH>
            <wp:positionV relativeFrom="paragraph">
              <wp:posOffset>-84455</wp:posOffset>
            </wp:positionV>
            <wp:extent cx="1619885" cy="2038985"/>
            <wp:effectExtent l="0" t="0" r="0" b="0"/>
            <wp:wrapTopAndBottom/>
            <wp:docPr id="1" name="Obraz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braz1"/>
                    <pic:cNvPicPr>
                      <a:picLocks noChangeAspect="1" noChangeArrowheads="1"/>
                    </pic:cNvPicPr>
                  </pic:nvPicPr>
                  <pic:blipFill>
                    <a:blip r:embed="rId2"/>
                    <a:stretch>
                      <a:fillRect/>
                    </a:stretch>
                  </pic:blipFill>
                  <pic:spPr bwMode="auto">
                    <a:xfrm>
                      <a:off x="0" y="0"/>
                      <a:ext cx="1619885" cy="2038985"/>
                    </a:xfrm>
                    <a:prstGeom prst="rect">
                      <a:avLst/>
                    </a:prstGeom>
                    <a:noFill/>
                  </pic:spPr>
                </pic:pic>
              </a:graphicData>
            </a:graphic>
          </wp:anchor>
        </w:drawing>
      </w:r>
    </w:p>
    <w:p>
      <w:pPr>
        <w:pStyle w:val="Normal"/>
        <w:jc w:val="center"/>
        <w:rPr>
          <w:rFonts w:ascii="Calibri" w:hAnsi="Calibri"/>
          <w:b/>
          <w:bCs/>
          <w:i/>
          <w:iCs/>
          <w:sz w:val="48"/>
          <w:szCs w:val="48"/>
        </w:rPr>
      </w:pPr>
      <w:r>
        <w:rPr>
          <w:rFonts w:ascii="Calibri" w:hAnsi="Calibri"/>
          <w:b/>
          <w:bCs/>
          <w:i/>
          <w:iCs/>
          <w:sz w:val="48"/>
          <w:szCs w:val="48"/>
        </w:rPr>
      </w:r>
    </w:p>
    <w:p>
      <w:pPr>
        <w:pStyle w:val="Normal"/>
        <w:spacing w:lineRule="auto" w:line="360"/>
        <w:jc w:val="center"/>
        <w:rPr/>
      </w:pPr>
      <w:r>
        <w:rPr>
          <w:rStyle w:val="Domylnaczcionkaakapitu"/>
          <w:rFonts w:ascii="Calibri" w:hAnsi="Calibri"/>
          <w:b/>
          <w:bCs/>
          <w:i/>
          <w:iCs/>
          <w:color w:val="55215B"/>
          <w:sz w:val="48"/>
          <w:szCs w:val="48"/>
        </w:rPr>
        <w:t>Sprawozdanie z działalności</w:t>
        <w:br/>
        <w:t>Miejskiego Ośrodka Pomocy Społecznej</w:t>
        <w:br/>
        <w:t>w Tomaszowie Mazowieckim za rok 2025</w:t>
      </w:r>
    </w:p>
    <w:p>
      <w:pPr>
        <w:pStyle w:val="Normal"/>
        <w:spacing w:lineRule="auto" w:line="360"/>
        <w:jc w:val="center"/>
        <w:rPr>
          <w:rFonts w:ascii="Calibri" w:hAnsi="Calibri"/>
          <w:b/>
          <w:bCs/>
          <w:i/>
          <w:iCs/>
          <w:color w:val="55215B"/>
          <w:sz w:val="48"/>
          <w:szCs w:val="48"/>
        </w:rPr>
      </w:pPr>
      <w:r>
        <w:rPr>
          <w:rFonts w:ascii="Calibri" w:hAnsi="Calibri"/>
          <w:b/>
          <w:bCs/>
          <w:i/>
          <w:iCs/>
          <w:color w:val="55215B"/>
          <w:sz w:val="48"/>
          <w:szCs w:val="48"/>
        </w:rPr>
      </w:r>
    </w:p>
    <w:p>
      <w:pPr>
        <w:pStyle w:val="Normal"/>
        <w:spacing w:lineRule="auto" w:line="360"/>
        <w:jc w:val="center"/>
        <w:rPr>
          <w:rFonts w:ascii="Calibri" w:hAnsi="Calibri"/>
          <w:color w:val="55215B"/>
          <w:sz w:val="36"/>
          <w:szCs w:val="36"/>
        </w:rPr>
      </w:pPr>
      <w:r>
        <w:rPr>
          <w:rFonts w:ascii="Calibri" w:hAnsi="Calibri"/>
          <w:color w:val="55215B"/>
          <w:sz w:val="36"/>
          <w:szCs w:val="36"/>
        </w:rPr>
      </w:r>
    </w:p>
    <w:p>
      <w:pPr>
        <w:pStyle w:val="Normal"/>
        <w:spacing w:lineRule="auto" w:line="360"/>
        <w:jc w:val="center"/>
        <w:rPr>
          <w:rFonts w:ascii="Calibri" w:hAnsi="Calibri"/>
          <w:color w:val="55215B"/>
          <w:sz w:val="36"/>
          <w:szCs w:val="36"/>
        </w:rPr>
      </w:pPr>
      <w:r>
        <w:rPr>
          <w:rFonts w:ascii="Calibri" w:hAnsi="Calibri"/>
          <w:color w:val="55215B"/>
          <w:sz w:val="36"/>
          <w:szCs w:val="36"/>
        </w:rPr>
      </w:r>
    </w:p>
    <w:p>
      <w:pPr>
        <w:pStyle w:val="Normal"/>
        <w:spacing w:lineRule="auto" w:line="360"/>
        <w:jc w:val="center"/>
        <w:rPr>
          <w:rFonts w:ascii="Calibri" w:hAnsi="Calibri"/>
          <w:sz w:val="36"/>
          <w:szCs w:val="36"/>
        </w:rPr>
      </w:pPr>
      <w:r>
        <w:rPr>
          <w:rFonts w:ascii="Calibri" w:hAnsi="Calibri"/>
          <w:sz w:val="36"/>
          <w:szCs w:val="36"/>
        </w:rPr>
      </w:r>
    </w:p>
    <w:p>
      <w:pPr>
        <w:pStyle w:val="Normal"/>
        <w:spacing w:lineRule="auto" w:line="360"/>
        <w:jc w:val="center"/>
        <w:rPr>
          <w:rFonts w:ascii="Calibri" w:hAnsi="Calibri"/>
          <w:sz w:val="36"/>
          <w:szCs w:val="36"/>
        </w:rPr>
      </w:pPr>
      <w:r>
        <w:rPr>
          <w:rFonts w:ascii="Calibri" w:hAnsi="Calibri"/>
          <w:sz w:val="36"/>
          <w:szCs w:val="36"/>
        </w:rPr>
      </w:r>
    </w:p>
    <w:p>
      <w:pPr>
        <w:pStyle w:val="Normal"/>
        <w:spacing w:lineRule="auto" w:line="360"/>
        <w:jc w:val="center"/>
        <w:rPr/>
      </w:pPr>
      <w:r>
        <w:rPr>
          <w:rStyle w:val="Domylnaczcionkaakapitu"/>
          <w:rFonts w:ascii="Calibri" w:hAnsi="Calibri"/>
          <w:b/>
          <w:bCs/>
          <w:color w:val="C9211E"/>
          <w:sz w:val="36"/>
          <w:szCs w:val="36"/>
        </w:rPr>
        <w:t>Kwiecień 2026r.</w:t>
      </w:r>
    </w:p>
    <w:p>
      <w:pPr>
        <w:pStyle w:val="Normal"/>
        <w:spacing w:lineRule="auto" w:line="360"/>
        <w:jc w:val="center"/>
        <w:rPr>
          <w:rFonts w:ascii="Calibri" w:hAnsi="Calibri"/>
          <w:b/>
          <w:bCs/>
          <w:sz w:val="36"/>
          <w:szCs w:val="36"/>
        </w:rPr>
      </w:pPr>
      <w:r>
        <w:rPr>
          <w:rFonts w:ascii="Calibri" w:hAnsi="Calibri"/>
          <w:b/>
          <w:bCs/>
          <w:sz w:val="36"/>
          <w:szCs w:val="36"/>
        </w:rPr>
      </w:r>
    </w:p>
    <w:p>
      <w:pPr>
        <w:pStyle w:val="Normal"/>
        <w:spacing w:lineRule="auto" w:line="360"/>
        <w:jc w:val="center"/>
        <w:rPr>
          <w:rFonts w:ascii="Calibri" w:hAnsi="Calibri"/>
          <w:b/>
          <w:bCs/>
          <w:sz w:val="36"/>
          <w:szCs w:val="36"/>
        </w:rPr>
      </w:pPr>
      <w:r>
        <w:rPr>
          <w:rFonts w:ascii="Calibri" w:hAnsi="Calibri"/>
          <w:b/>
          <w:bCs/>
          <w:sz w:val="36"/>
          <w:szCs w:val="36"/>
        </w:rPr>
      </w:r>
    </w:p>
    <w:p>
      <w:pPr>
        <w:pStyle w:val="Normal"/>
        <w:spacing w:lineRule="auto" w:line="360"/>
        <w:rPr>
          <w:rFonts w:ascii="Calibri" w:hAnsi="Calibri"/>
          <w:b/>
          <w:bCs/>
          <w:sz w:val="32"/>
          <w:szCs w:val="32"/>
        </w:rPr>
      </w:pPr>
      <w:r>
        <w:rPr>
          <w:rFonts w:ascii="Calibri" w:hAnsi="Calibri"/>
          <w:b/>
          <w:bCs/>
          <w:sz w:val="32"/>
          <w:szCs w:val="32"/>
        </w:rPr>
      </w:r>
    </w:p>
    <w:p>
      <w:pPr>
        <w:pStyle w:val="Normal"/>
        <w:spacing w:lineRule="auto" w:line="360"/>
        <w:jc w:val="center"/>
        <w:rPr>
          <w:rFonts w:ascii="Calibri" w:hAnsi="Calibri"/>
          <w:b/>
          <w:bCs/>
          <w:sz w:val="32"/>
          <w:szCs w:val="32"/>
        </w:rPr>
      </w:pPr>
      <w:r>
        <w:rPr>
          <w:rFonts w:ascii="Calibri" w:hAnsi="Calibri"/>
          <w:b/>
          <w:bCs/>
          <w:sz w:val="32"/>
          <w:szCs w:val="32"/>
        </w:rPr>
        <w:t>I. Wstęp</w:t>
      </w:r>
    </w:p>
    <w:p>
      <w:pPr>
        <w:pStyle w:val="Normal"/>
        <w:spacing w:lineRule="auto" w:line="360"/>
        <w:jc w:val="both"/>
        <w:rPr/>
      </w:pPr>
      <w:r>
        <w:rPr>
          <w:rStyle w:val="Domylnaczcionkaakapitu"/>
          <w:rFonts w:ascii="Calibri" w:hAnsi="Calibri"/>
        </w:rPr>
        <w:tab/>
        <w:t>Na podstawie art. 110 ust. 9 ustawy z dnia 12 marca 2004 r. o pomocy społecznej przedłożone zostaje Radzie Miasta Tomaszowa Mazowieckiego  sprawozdanie z działalności Miejskiego Ośrodka Pomocy Społecznej w Tomaszowie Mazowieckim za rok 2025.</w:t>
      </w:r>
    </w:p>
    <w:p>
      <w:pPr>
        <w:pStyle w:val="lyt-darkblueLTUntertitel"/>
        <w:spacing w:lineRule="auto" w:line="360"/>
        <w:ind w:hanging="0"/>
        <w:jc w:val="both"/>
        <w:rPr/>
      </w:pPr>
      <w:r>
        <w:rPr>
          <w:rStyle w:val="Domylnaczcionkaakapitu"/>
          <w:rFonts w:eastAsia="Arial" w:cs="Arial" w:ascii="Calibri" w:hAnsi="Calibri"/>
          <w:color w:val="000000"/>
          <w:sz w:val="24"/>
          <w:szCs w:val="24"/>
          <w:shd w:fill="FFFFFF" w:val="clear"/>
        </w:rPr>
        <w:tab/>
        <w:t xml:space="preserve">Działania pomocy społecznej podejmowane przez MOPS jako realizatora polityki społecznej państwa na poziomie lokalnym mają podstawowy </w:t>
      </w:r>
      <w:r>
        <w:rPr>
          <w:rStyle w:val="Domylnaczcionkaakapitu"/>
          <w:rFonts w:eastAsia="Arial" w:cs="Arial" w:ascii="Calibri" w:hAnsi="Calibri"/>
          <w:b/>
          <w:bCs/>
          <w:color w:val="000000"/>
          <w:sz w:val="24"/>
          <w:szCs w:val="24"/>
          <w:shd w:fill="FFFFFF" w:val="clear"/>
        </w:rPr>
        <w:t>cel: szeroko rozumiany rozwój społeczny.</w:t>
      </w:r>
    </w:p>
    <w:p>
      <w:pPr>
        <w:pStyle w:val="Normal"/>
        <w:spacing w:lineRule="auto" w:line="360"/>
        <w:jc w:val="both"/>
        <w:rPr>
          <w:rFonts w:ascii="Calibri" w:hAnsi="Calibri" w:eastAsia="Arial" w:cs="Arial"/>
          <w:color w:val="000000"/>
          <w:shd w:fill="FFFFFF" w:val="clear"/>
        </w:rPr>
      </w:pPr>
      <w:r>
        <w:rPr>
          <w:rFonts w:eastAsia="Arial" w:cs="Arial" w:ascii="Calibri" w:hAnsi="Calibri"/>
          <w:color w:val="000000"/>
          <w:shd w:fill="FFFFFF" w:val="clear"/>
        </w:rPr>
        <w:tab/>
        <w:t>System świadczeń pieniężnych i niepieniężnych realizowanych przez Ośrodek stanowi integralną część zabezpieczenia społecznego, w ramach którego podejmowane działania spełniają zasadę pomocniczości zachowując jednocześnie zasadę aktywnego współudziału klientów we współpracy z Ośrodkiem.</w:t>
      </w:r>
    </w:p>
    <w:p>
      <w:pPr>
        <w:pStyle w:val="Normal"/>
        <w:spacing w:lineRule="auto" w:line="360"/>
        <w:jc w:val="both"/>
        <w:rPr/>
      </w:pPr>
      <w:r>
        <w:rPr>
          <w:rStyle w:val="Domylnaczcionkaakapitu"/>
          <w:rFonts w:cs="Calibri" w:ascii="Calibri" w:hAnsi="Calibri"/>
          <w:color w:val="000000"/>
          <w:shd w:fill="FFFFFF" w:val="clear"/>
        </w:rPr>
        <w:tab/>
      </w:r>
      <w:r>
        <w:rPr>
          <w:rStyle w:val="Domylnaczcionkaakapitu"/>
          <w:rFonts w:eastAsia="Arial" w:cs="Arial" w:ascii="Calibri" w:hAnsi="Calibri"/>
          <w:color w:val="000000"/>
          <w:shd w:fill="FFFFFF" w:val="clear"/>
        </w:rPr>
        <w:t>Miejski Ośrodek Pomocy Społecznej w Tomaszowie Mazowieckim</w:t>
      </w:r>
      <w:r>
        <w:rPr>
          <w:rStyle w:val="Domylnaczcionkaakapitu"/>
          <w:rFonts w:ascii="Calibri" w:hAnsi="Calibri"/>
        </w:rPr>
        <w:t xml:space="preserve"> w roku 2025 realizował działalność statutową oraz podejmował dodatkowe zadania w celu podnoszenia jakości i poszerzenia usług świadczonych dla mieszkańców miasta, w szczególności dla osób i rodzin w trudnej sytuacji życiowej, osób starszych, osób z niepełnosprawnościami oraz dzieci.</w:t>
      </w:r>
    </w:p>
    <w:p>
      <w:pPr>
        <w:pStyle w:val="Normal"/>
        <w:spacing w:lineRule="auto" w:line="360"/>
        <w:jc w:val="both"/>
        <w:rPr>
          <w:rFonts w:ascii="Calibri" w:hAnsi="Calibri" w:cs="Calibri"/>
          <w:color w:val="000000"/>
          <w:shd w:fill="FFFFFF" w:val="clear"/>
        </w:rPr>
      </w:pPr>
      <w:r>
        <w:rPr>
          <w:rFonts w:cs="Calibri" w:ascii="Calibri" w:hAnsi="Calibri"/>
          <w:color w:val="000000"/>
          <w:shd w:fill="FFFFFF" w:val="clear"/>
        </w:rPr>
        <w:t>Dane zebrane z poszczególnych działów i sekcji Ośrodka ukazują różnorodność realizowanych zadań i udzielanego wsparcia, które stanowią jednocześnie podstawę do określenia i modyfikacji szacunkowych potrzeb niezbędnych do planowania dalszej pomocy mieszkańcom naszego miasta.</w:t>
      </w:r>
      <w:r>
        <w:br w:type="page"/>
      </w:r>
    </w:p>
    <w:p>
      <w:pPr>
        <w:pStyle w:val="Normal"/>
        <w:spacing w:lineRule="auto" w:line="360"/>
        <w:jc w:val="center"/>
        <w:rPr>
          <w:rFonts w:ascii="Calibri" w:hAnsi="Calibri"/>
          <w:b/>
          <w:bCs/>
          <w:sz w:val="32"/>
          <w:szCs w:val="32"/>
        </w:rPr>
      </w:pPr>
      <w:r>
        <w:rPr>
          <w:rFonts w:ascii="Calibri" w:hAnsi="Calibri"/>
          <w:b/>
          <w:bCs/>
          <w:sz w:val="32"/>
          <w:szCs w:val="32"/>
        </w:rPr>
        <w:t>II. Struktura zatrudnienia</w:t>
      </w:r>
    </w:p>
    <w:p>
      <w:pPr>
        <w:pStyle w:val="Normal"/>
        <w:ind w:firstLine="709"/>
        <w:jc w:val="both"/>
        <w:rPr/>
      </w:pPr>
      <w:r>
        <w:rPr>
          <w:rStyle w:val="Domylnaczcionkaakapitu"/>
          <w:rFonts w:ascii="Calibri" w:hAnsi="Calibri"/>
        </w:rPr>
        <w:t xml:space="preserve">W Miejskim Ośrodku Pomocy Społecznej w Tomaszowie Mazowieckim  </w:t>
      </w:r>
      <w:r>
        <w:rPr>
          <w:rStyle w:val="Domylnaczcionkaakapitu"/>
          <w:rFonts w:ascii="Calibri" w:hAnsi="Calibri"/>
          <w:b/>
          <w:bCs/>
          <w:i/>
          <w:iCs/>
        </w:rPr>
        <w:t>w roku 2025</w:t>
      </w:r>
      <w:r>
        <w:rPr>
          <w:rStyle w:val="Domylnaczcionkaakapitu"/>
          <w:rFonts w:ascii="Calibri" w:hAnsi="Calibri"/>
        </w:rPr>
        <w:t xml:space="preserve"> zatrudnionych było</w:t>
      </w:r>
      <w:r>
        <w:rPr>
          <w:rStyle w:val="Domylnaczcionkaakapitu"/>
          <w:rFonts w:ascii="Calibri" w:hAnsi="Calibri"/>
          <w:b/>
          <w:bCs/>
        </w:rPr>
        <w:t xml:space="preserve"> 114 osób</w:t>
      </w:r>
      <w:r>
        <w:rPr>
          <w:rStyle w:val="Domylnaczcionkaakapitu"/>
          <w:rFonts w:ascii="Calibri" w:hAnsi="Calibri"/>
        </w:rPr>
        <w:t xml:space="preserve"> w tym :</w:t>
      </w:r>
    </w:p>
    <w:p>
      <w:pPr>
        <w:pStyle w:val="Normal"/>
        <w:rPr>
          <w:rFonts w:ascii="Calibri" w:hAnsi="Calibri"/>
        </w:rPr>
      </w:pPr>
      <w:r>
        <w:rPr>
          <w:rFonts w:ascii="Calibri" w:hAnsi="Calibri"/>
        </w:rPr>
      </w:r>
    </w:p>
    <w:p>
      <w:pPr>
        <w:pStyle w:val="Normal"/>
        <w:rPr>
          <w:rFonts w:ascii="Calibri" w:hAnsi="Calibri"/>
          <w:b/>
          <w:bCs/>
        </w:rPr>
      </w:pPr>
      <w:r>
        <w:rPr>
          <w:rFonts w:ascii="Calibri" w:hAnsi="Calibri"/>
          <w:b/>
          <w:bCs/>
        </w:rPr>
        <w:t>I. Zadania  Własne</w:t>
      </w:r>
    </w:p>
    <w:p>
      <w:pPr>
        <w:pStyle w:val="Normal"/>
        <w:rPr>
          <w:rFonts w:ascii="Calibri" w:hAnsi="Calibri"/>
        </w:rPr>
      </w:pPr>
      <w:r>
        <w:rPr>
          <w:rFonts w:ascii="Calibri" w:hAnsi="Calibri"/>
        </w:rPr>
      </w:r>
    </w:p>
    <w:tbl>
      <w:tblPr>
        <w:tblW w:w="9638" w:type="dxa"/>
        <w:jc w:val="start"/>
        <w:tblInd w:w="-65" w:type="dxa"/>
        <w:tblLayout w:type="fixed"/>
        <w:tblCellMar>
          <w:top w:w="55" w:type="dxa"/>
          <w:start w:w="50" w:type="dxa"/>
          <w:bottom w:w="55" w:type="dxa"/>
          <w:end w:w="55" w:type="dxa"/>
        </w:tblCellMar>
      </w:tblPr>
      <w:tblGrid>
        <w:gridCol w:w="508"/>
        <w:gridCol w:w="5216"/>
        <w:gridCol w:w="3914"/>
      </w:tblGrid>
      <w:tr>
        <w:trPr/>
        <w:tc>
          <w:tcPr>
            <w:tcW w:w="5724" w:type="dxa"/>
            <w:gridSpan w:val="2"/>
            <w:tcBorders>
              <w:top w:val="single" w:sz="4" w:space="0" w:color="000000"/>
              <w:start w:val="single" w:sz="4" w:space="0" w:color="000000"/>
              <w:bottom w:val="single" w:sz="4" w:space="0" w:color="000000"/>
            </w:tcBorders>
            <w:shd w:fill="ACB20C" w:val="clear"/>
            <w:vAlign w:val="center"/>
          </w:tcPr>
          <w:p>
            <w:pPr>
              <w:pStyle w:val="Zawartotabeli"/>
              <w:widowControl w:val="false"/>
              <w:jc w:val="center"/>
              <w:rPr>
                <w:rFonts w:ascii="Calibri" w:hAnsi="Calibri"/>
                <w:b/>
                <w:bCs/>
                <w:color w:val="000000"/>
              </w:rPr>
            </w:pPr>
            <w:r>
              <w:rPr>
                <w:rFonts w:ascii="Calibri" w:hAnsi="Calibri"/>
                <w:b/>
                <w:bCs/>
                <w:color w:val="000000"/>
              </w:rPr>
              <w:t>Zadania własne</w:t>
            </w:r>
          </w:p>
        </w:tc>
        <w:tc>
          <w:tcPr>
            <w:tcW w:w="3914" w:type="dxa"/>
            <w:tcBorders>
              <w:top w:val="single" w:sz="4" w:space="0" w:color="000000"/>
              <w:start w:val="single" w:sz="4" w:space="0" w:color="000000"/>
              <w:bottom w:val="single" w:sz="4" w:space="0" w:color="000000"/>
              <w:end w:val="single" w:sz="4" w:space="0" w:color="000000"/>
            </w:tcBorders>
            <w:shd w:fill="ACB20C" w:val="clear"/>
            <w:vAlign w:val="center"/>
          </w:tcPr>
          <w:p>
            <w:pPr>
              <w:pStyle w:val="Zawartotabeli"/>
              <w:widowControl w:val="false"/>
              <w:jc w:val="center"/>
              <w:rPr>
                <w:rFonts w:ascii="Calibri" w:hAnsi="Calibri"/>
                <w:b/>
                <w:bCs/>
                <w:color w:val="000000"/>
              </w:rPr>
            </w:pPr>
            <w:r>
              <w:rPr>
                <w:rFonts w:ascii="Calibri" w:hAnsi="Calibri"/>
                <w:b/>
                <w:bCs/>
                <w:color w:val="000000"/>
              </w:rPr>
              <w:t>Liczba osób</w:t>
            </w:r>
          </w:p>
        </w:tc>
      </w:tr>
      <w:tr>
        <w:trPr/>
        <w:tc>
          <w:tcPr>
            <w:tcW w:w="508" w:type="dxa"/>
            <w:tcBorders>
              <w:top w:val="single" w:sz="4" w:space="0" w:color="000000"/>
              <w:start w:val="single" w:sz="4" w:space="0" w:color="000000"/>
              <w:bottom w:val="single" w:sz="4" w:space="0" w:color="000000"/>
            </w:tcBorders>
            <w:shd w:fill="FF8000" w:val="clear"/>
            <w:vAlign w:val="center"/>
          </w:tcPr>
          <w:p>
            <w:pPr>
              <w:pStyle w:val="Zawartotabeli"/>
              <w:widowControl w:val="false"/>
              <w:jc w:val="center"/>
              <w:rPr>
                <w:rFonts w:ascii="Calibri" w:hAnsi="Calibri"/>
                <w:color w:val="000000"/>
              </w:rPr>
            </w:pPr>
            <w:r>
              <w:rPr>
                <w:rFonts w:ascii="Calibri" w:hAnsi="Calibri"/>
                <w:color w:val="000000"/>
              </w:rPr>
            </w:r>
          </w:p>
        </w:tc>
        <w:tc>
          <w:tcPr>
            <w:tcW w:w="5216" w:type="dxa"/>
            <w:tcBorders>
              <w:top w:val="single" w:sz="4" w:space="0" w:color="000000"/>
              <w:start w:val="single" w:sz="4" w:space="0" w:color="000000"/>
              <w:bottom w:val="single" w:sz="4" w:space="0" w:color="000000"/>
            </w:tcBorders>
            <w:shd w:fill="FF8000" w:val="clear"/>
            <w:vAlign w:val="center"/>
          </w:tcPr>
          <w:p>
            <w:pPr>
              <w:pStyle w:val="Zawartotabeli"/>
              <w:widowControl w:val="false"/>
              <w:jc w:val="center"/>
              <w:rPr>
                <w:rFonts w:ascii="Calibri" w:hAnsi="Calibri"/>
                <w:b/>
                <w:bCs/>
                <w:color w:val="000000"/>
              </w:rPr>
            </w:pPr>
            <w:r>
              <w:rPr>
                <w:rFonts w:ascii="Calibri" w:hAnsi="Calibri"/>
                <w:b/>
                <w:bCs/>
                <w:color w:val="000000"/>
              </w:rPr>
              <w:t>Razem</w:t>
            </w:r>
          </w:p>
        </w:tc>
        <w:tc>
          <w:tcPr>
            <w:tcW w:w="3914" w:type="dxa"/>
            <w:tcBorders>
              <w:top w:val="single" w:sz="4" w:space="0" w:color="000000"/>
              <w:start w:val="single" w:sz="4" w:space="0" w:color="000000"/>
              <w:bottom w:val="single" w:sz="4" w:space="0" w:color="000000"/>
              <w:end w:val="single" w:sz="4" w:space="0" w:color="000000"/>
            </w:tcBorders>
            <w:shd w:fill="FF8000" w:val="clear"/>
            <w:vAlign w:val="center"/>
          </w:tcPr>
          <w:p>
            <w:pPr>
              <w:pStyle w:val="Zawartotabeli"/>
              <w:widowControl w:val="false"/>
              <w:jc w:val="center"/>
              <w:rPr/>
            </w:pPr>
            <w:r>
              <w:rPr>
                <w:rStyle w:val="Domylnaczcionkaakapitu"/>
                <w:rFonts w:ascii="Calibri" w:hAnsi="Calibri"/>
                <w:b/>
                <w:bCs/>
                <w:color w:val="000000"/>
              </w:rPr>
              <w:t>62 osoby (etatowo  - 61, 25)</w:t>
            </w:r>
          </w:p>
        </w:tc>
      </w:tr>
    </w:tbl>
    <w:p>
      <w:pPr>
        <w:pStyle w:val="Normal"/>
        <w:widowControl w:val="false"/>
        <w:rPr>
          <w:rFonts w:ascii="Calibri" w:hAnsi="Calibri"/>
        </w:rPr>
      </w:pPr>
      <w:r>
        <w:rPr>
          <w:rFonts w:ascii="Calibri" w:hAnsi="Calibri"/>
        </w:rPr>
      </w:r>
    </w:p>
    <w:p>
      <w:pPr>
        <w:pStyle w:val="Normal"/>
        <w:rPr>
          <w:rFonts w:ascii="Calibri" w:hAnsi="Calibri"/>
          <w:b/>
          <w:bCs/>
        </w:rPr>
      </w:pPr>
      <w:r>
        <w:rPr>
          <w:rFonts w:ascii="Calibri" w:hAnsi="Calibri"/>
          <w:b/>
          <w:bCs/>
        </w:rPr>
        <w:t>II. Zadania Zlecone</w:t>
      </w:r>
    </w:p>
    <w:p>
      <w:pPr>
        <w:pStyle w:val="Normal"/>
        <w:rPr>
          <w:rFonts w:ascii="Calibri" w:hAnsi="Calibri"/>
          <w:b/>
          <w:bCs/>
        </w:rPr>
      </w:pPr>
      <w:r>
        <w:rPr>
          <w:rFonts w:ascii="Calibri" w:hAnsi="Calibri"/>
          <w:b/>
          <w:bCs/>
        </w:rPr>
      </w:r>
    </w:p>
    <w:tbl>
      <w:tblPr>
        <w:tblW w:w="9638" w:type="dxa"/>
        <w:jc w:val="start"/>
        <w:tblInd w:w="-60" w:type="dxa"/>
        <w:tblLayout w:type="fixed"/>
        <w:tblCellMar>
          <w:top w:w="55" w:type="dxa"/>
          <w:start w:w="50" w:type="dxa"/>
          <w:bottom w:w="55" w:type="dxa"/>
          <w:end w:w="55" w:type="dxa"/>
        </w:tblCellMar>
      </w:tblPr>
      <w:tblGrid>
        <w:gridCol w:w="509"/>
        <w:gridCol w:w="5215"/>
        <w:gridCol w:w="3914"/>
      </w:tblGrid>
      <w:tr>
        <w:trPr/>
        <w:tc>
          <w:tcPr>
            <w:tcW w:w="5724" w:type="dxa"/>
            <w:gridSpan w:val="2"/>
            <w:tcBorders>
              <w:top w:val="single" w:sz="4" w:space="0" w:color="000000"/>
              <w:start w:val="single" w:sz="4" w:space="0" w:color="000000"/>
              <w:bottom w:val="single" w:sz="4" w:space="0" w:color="000000"/>
            </w:tcBorders>
            <w:shd w:fill="FF8000" w:val="clear"/>
            <w:vAlign w:val="center"/>
          </w:tcPr>
          <w:p>
            <w:pPr>
              <w:pStyle w:val="Zawartotabeli"/>
              <w:widowControl w:val="false"/>
              <w:jc w:val="center"/>
              <w:rPr>
                <w:rFonts w:ascii="Calibri" w:hAnsi="Calibri"/>
                <w:b/>
                <w:bCs/>
                <w:color w:val="000000"/>
              </w:rPr>
            </w:pPr>
            <w:r>
              <w:rPr>
                <w:rFonts w:ascii="Calibri" w:hAnsi="Calibri"/>
                <w:b/>
                <w:bCs/>
                <w:color w:val="000000"/>
              </w:rPr>
              <w:t>Zadania zlecone</w:t>
            </w:r>
          </w:p>
          <w:p>
            <w:pPr>
              <w:pStyle w:val="Normal"/>
              <w:widowControl w:val="false"/>
              <w:jc w:val="center"/>
              <w:rPr>
                <w:rFonts w:ascii="Calibri" w:hAnsi="Calibri" w:eastAsia="Times New Roman" w:cs="Times New Roman"/>
                <w:b/>
                <w:bCs/>
                <w:color w:val="000000"/>
              </w:rPr>
            </w:pPr>
            <w:r>
              <w:rPr>
                <w:rFonts w:eastAsia="Times New Roman" w:cs="Times New Roman" w:ascii="Calibri" w:hAnsi="Calibri"/>
                <w:b/>
                <w:bCs/>
                <w:color w:val="000000"/>
              </w:rPr>
            </w:r>
          </w:p>
        </w:tc>
        <w:tc>
          <w:tcPr>
            <w:tcW w:w="3914" w:type="dxa"/>
            <w:tcBorders>
              <w:top w:val="single" w:sz="4" w:space="0" w:color="000000"/>
              <w:start w:val="single" w:sz="4" w:space="0" w:color="000000"/>
              <w:bottom w:val="single" w:sz="4" w:space="0" w:color="000000"/>
              <w:end w:val="single" w:sz="4" w:space="0" w:color="000000"/>
            </w:tcBorders>
            <w:shd w:fill="FF8000" w:val="clear"/>
            <w:vAlign w:val="center"/>
          </w:tcPr>
          <w:p>
            <w:pPr>
              <w:pStyle w:val="Zawartotabeli"/>
              <w:widowControl w:val="false"/>
              <w:jc w:val="center"/>
              <w:rPr>
                <w:rFonts w:ascii="Calibri" w:hAnsi="Calibri"/>
                <w:b/>
                <w:bCs/>
                <w:color w:val="000000"/>
              </w:rPr>
            </w:pPr>
            <w:r>
              <w:rPr>
                <w:rFonts w:ascii="Calibri" w:hAnsi="Calibri"/>
                <w:b/>
                <w:bCs/>
                <w:color w:val="000000"/>
              </w:rPr>
              <w:t>Liczba osób</w:t>
            </w:r>
          </w:p>
        </w:tc>
      </w:tr>
      <w:tr>
        <w:trPr/>
        <w:tc>
          <w:tcPr>
            <w:tcW w:w="509" w:type="dxa"/>
            <w:tcBorders>
              <w:top w:val="single" w:sz="4" w:space="0" w:color="000000"/>
              <w:start w:val="single" w:sz="4" w:space="0" w:color="000000"/>
              <w:bottom w:val="single" w:sz="4" w:space="0" w:color="000000"/>
            </w:tcBorders>
            <w:shd w:fill="E6E905" w:val="clear"/>
            <w:vAlign w:val="center"/>
          </w:tcPr>
          <w:p>
            <w:pPr>
              <w:pStyle w:val="Zawartotabeli"/>
              <w:widowControl w:val="false"/>
              <w:jc w:val="center"/>
              <w:rPr>
                <w:rFonts w:ascii="Calibri" w:hAnsi="Calibri"/>
                <w:color w:val="000000"/>
              </w:rPr>
            </w:pPr>
            <w:r>
              <w:rPr>
                <w:rFonts w:ascii="Calibri" w:hAnsi="Calibri"/>
                <w:color w:val="000000"/>
              </w:rPr>
            </w:r>
          </w:p>
        </w:tc>
        <w:tc>
          <w:tcPr>
            <w:tcW w:w="5215" w:type="dxa"/>
            <w:tcBorders>
              <w:top w:val="single" w:sz="4" w:space="0" w:color="000000"/>
              <w:start w:val="single" w:sz="4" w:space="0" w:color="000000"/>
              <w:bottom w:val="single" w:sz="4" w:space="0" w:color="000000"/>
            </w:tcBorders>
            <w:shd w:fill="E6E905" w:val="clear"/>
            <w:vAlign w:val="center"/>
          </w:tcPr>
          <w:p>
            <w:pPr>
              <w:pStyle w:val="Zawartotabeli"/>
              <w:widowControl w:val="false"/>
              <w:jc w:val="center"/>
              <w:rPr>
                <w:rFonts w:ascii="Calibri" w:hAnsi="Calibri"/>
                <w:b/>
                <w:bCs/>
                <w:color w:val="000000"/>
              </w:rPr>
            </w:pPr>
            <w:r>
              <w:rPr>
                <w:rFonts w:ascii="Calibri" w:hAnsi="Calibri"/>
                <w:b/>
                <w:bCs/>
                <w:color w:val="000000"/>
              </w:rPr>
              <w:t>Razem</w:t>
            </w:r>
          </w:p>
        </w:tc>
        <w:tc>
          <w:tcPr>
            <w:tcW w:w="3914" w:type="dxa"/>
            <w:tcBorders>
              <w:top w:val="single" w:sz="4" w:space="0" w:color="000000"/>
              <w:start w:val="single" w:sz="4" w:space="0" w:color="000000"/>
              <w:bottom w:val="single" w:sz="4" w:space="0" w:color="000000"/>
              <w:end w:val="single" w:sz="4" w:space="0" w:color="000000"/>
            </w:tcBorders>
            <w:shd w:fill="E6E905" w:val="clear"/>
            <w:vAlign w:val="center"/>
          </w:tcPr>
          <w:p>
            <w:pPr>
              <w:pStyle w:val="Zawartotabeli"/>
              <w:widowControl w:val="false"/>
              <w:jc w:val="center"/>
              <w:rPr/>
            </w:pPr>
            <w:r>
              <w:rPr>
                <w:rStyle w:val="Domylnaczcionkaakapitu"/>
                <w:rFonts w:ascii="Calibri" w:hAnsi="Calibri"/>
                <w:b/>
                <w:bCs/>
                <w:color w:val="000000"/>
              </w:rPr>
              <w:t xml:space="preserve">11  </w:t>
            </w:r>
            <w:r>
              <w:rPr>
                <w:rStyle w:val="Domylnaczcionkaakapitu"/>
                <w:rFonts w:ascii="Calibri" w:hAnsi="Calibri"/>
                <w:b/>
                <w:bCs/>
                <w:color w:val="000000"/>
              </w:rPr>
              <w:t>o</w:t>
            </w:r>
            <w:r>
              <w:rPr>
                <w:rStyle w:val="Domylnaczcionkaakapitu"/>
                <w:rFonts w:ascii="Calibri" w:hAnsi="Calibri"/>
                <w:b/>
                <w:bCs/>
                <w:color w:val="000000"/>
              </w:rPr>
              <w:t>sób (etatowo  - 11)</w:t>
            </w:r>
          </w:p>
        </w:tc>
      </w:tr>
    </w:tbl>
    <w:p>
      <w:pPr>
        <w:pStyle w:val="Normal"/>
        <w:widowControl w:val="false"/>
        <w:jc w:val="center"/>
        <w:rPr>
          <w:rFonts w:ascii="Calibri" w:hAnsi="Calibri"/>
          <w:b/>
          <w:bCs/>
        </w:rPr>
      </w:pPr>
      <w:r>
        <w:rPr>
          <w:rFonts w:ascii="Calibri" w:hAnsi="Calibri"/>
          <w:b/>
          <w:bCs/>
        </w:rPr>
      </w:r>
    </w:p>
    <w:p>
      <w:pPr>
        <w:pStyle w:val="Normal"/>
        <w:rPr>
          <w:rFonts w:ascii="Calibri" w:hAnsi="Calibri"/>
          <w:b/>
          <w:bCs/>
        </w:rPr>
      </w:pPr>
      <w:r>
        <w:rPr>
          <w:rFonts w:ascii="Calibri" w:hAnsi="Calibri"/>
          <w:b/>
          <w:bCs/>
        </w:rPr>
        <w:t>III. Projekty</w:t>
      </w:r>
    </w:p>
    <w:p>
      <w:pPr>
        <w:pStyle w:val="Normal"/>
        <w:rPr>
          <w:rFonts w:ascii="Calibri" w:hAnsi="Calibri"/>
          <w:b/>
          <w:bCs/>
        </w:rPr>
      </w:pPr>
      <w:r>
        <w:rPr>
          <w:rFonts w:ascii="Calibri" w:hAnsi="Calibri"/>
          <w:b/>
          <w:bCs/>
        </w:rPr>
      </w:r>
    </w:p>
    <w:tbl>
      <w:tblPr>
        <w:tblW w:w="9638" w:type="dxa"/>
        <w:jc w:val="start"/>
        <w:tblInd w:w="-5" w:type="dxa"/>
        <w:tblLayout w:type="fixed"/>
        <w:tblCellMar>
          <w:top w:w="55" w:type="dxa"/>
          <w:start w:w="55" w:type="dxa"/>
          <w:bottom w:w="55" w:type="dxa"/>
          <w:end w:w="55" w:type="dxa"/>
        </w:tblCellMar>
      </w:tblPr>
      <w:tblGrid>
        <w:gridCol w:w="4819"/>
        <w:gridCol w:w="4819"/>
      </w:tblGrid>
      <w:tr>
        <w:trPr/>
        <w:tc>
          <w:tcPr>
            <w:tcW w:w="4819" w:type="dxa"/>
            <w:tcBorders>
              <w:top w:val="single" w:sz="4" w:space="0" w:color="000000"/>
              <w:start w:val="single" w:sz="4" w:space="0" w:color="000000"/>
              <w:bottom w:val="single" w:sz="4" w:space="0" w:color="000000"/>
            </w:tcBorders>
            <w:shd w:fill="ACB20C" w:val="clear"/>
            <w:vAlign w:val="center"/>
          </w:tcPr>
          <w:p>
            <w:pPr>
              <w:pStyle w:val="Zawartotabeli"/>
              <w:jc w:val="center"/>
              <w:rPr>
                <w:rFonts w:ascii="Calibri" w:hAnsi="Calibri"/>
                <w:b/>
                <w:bCs/>
              </w:rPr>
            </w:pPr>
            <w:r>
              <w:rPr>
                <w:rFonts w:ascii="Calibri" w:hAnsi="Calibri"/>
                <w:b/>
                <w:bCs/>
              </w:rPr>
              <w:t>Projekty</w:t>
            </w:r>
          </w:p>
        </w:tc>
        <w:tc>
          <w:tcPr>
            <w:tcW w:w="4819" w:type="dxa"/>
            <w:tcBorders>
              <w:top w:val="single" w:sz="4" w:space="0" w:color="000000"/>
              <w:start w:val="single" w:sz="4" w:space="0" w:color="000000"/>
              <w:bottom w:val="single" w:sz="4" w:space="0" w:color="000000"/>
              <w:end w:val="single" w:sz="4" w:space="0" w:color="000000"/>
            </w:tcBorders>
            <w:shd w:fill="ACB20C" w:val="clear"/>
            <w:vAlign w:val="center"/>
          </w:tcPr>
          <w:p>
            <w:pPr>
              <w:pStyle w:val="Zawartotabeli"/>
              <w:jc w:val="center"/>
              <w:rPr>
                <w:rFonts w:ascii="Calibri" w:hAnsi="Calibri"/>
                <w:b/>
                <w:bCs/>
              </w:rPr>
            </w:pPr>
            <w:r>
              <w:rPr>
                <w:rFonts w:ascii="Calibri" w:hAnsi="Calibri"/>
                <w:b/>
                <w:bCs/>
              </w:rPr>
              <w:t>Liczb osób</w:t>
            </w:r>
          </w:p>
          <w:p>
            <w:pPr>
              <w:pStyle w:val="Zawartotabeli"/>
              <w:jc w:val="center"/>
              <w:rPr>
                <w:rFonts w:ascii="Calibri" w:hAnsi="Calibri"/>
                <w:b/>
                <w:bCs/>
              </w:rPr>
            </w:pPr>
            <w:r>
              <w:rPr>
                <w:rFonts w:ascii="Calibri" w:hAnsi="Calibri"/>
                <w:b/>
                <w:bCs/>
              </w:rPr>
            </w:r>
          </w:p>
        </w:tc>
      </w:tr>
      <w:tr>
        <w:trPr/>
        <w:tc>
          <w:tcPr>
            <w:tcW w:w="4819" w:type="dxa"/>
            <w:tcBorders>
              <w:start w:val="single" w:sz="4" w:space="0" w:color="000000"/>
              <w:bottom w:val="single" w:sz="4" w:space="0" w:color="000000"/>
            </w:tcBorders>
            <w:shd w:fill="FFBF00" w:val="clear"/>
            <w:vAlign w:val="center"/>
          </w:tcPr>
          <w:p>
            <w:pPr>
              <w:pStyle w:val="Normal"/>
              <w:jc w:val="center"/>
              <w:rPr>
                <w:rFonts w:ascii="Calibri" w:hAnsi="Calibri"/>
                <w:b/>
                <w:bCs/>
              </w:rPr>
            </w:pPr>
            <w:r>
              <w:rPr>
                <w:rFonts w:ascii="Calibri" w:hAnsi="Calibri"/>
                <w:b/>
                <w:bCs/>
              </w:rPr>
              <w:t>Pracownicy zatrudnieni do Projektu TCUŚ</w:t>
            </w:r>
          </w:p>
          <w:p>
            <w:pPr>
              <w:pStyle w:val="Normal"/>
              <w:jc w:val="center"/>
              <w:rPr>
                <w:rFonts w:ascii="Calibri" w:hAnsi="Calibri"/>
                <w:b/>
                <w:bCs/>
              </w:rPr>
            </w:pPr>
            <w:r>
              <w:rPr>
                <w:rFonts w:ascii="Calibri" w:hAnsi="Calibri"/>
                <w:b/>
                <w:bCs/>
              </w:rPr>
              <w:t>DDP I, DDP II , DDP III</w:t>
            </w:r>
          </w:p>
        </w:tc>
        <w:tc>
          <w:tcPr>
            <w:tcW w:w="4819" w:type="dxa"/>
            <w:tcBorders>
              <w:start w:val="single" w:sz="4" w:space="0" w:color="000000"/>
              <w:bottom w:val="single" w:sz="4" w:space="0" w:color="000000"/>
              <w:end w:val="single" w:sz="4" w:space="0" w:color="000000"/>
            </w:tcBorders>
            <w:shd w:fill="FF8000" w:val="clear"/>
            <w:vAlign w:val="center"/>
          </w:tcPr>
          <w:p>
            <w:pPr>
              <w:pStyle w:val="Zawartotabeli"/>
              <w:widowControl w:val="false"/>
              <w:jc w:val="center"/>
              <w:rPr/>
            </w:pPr>
            <w:r>
              <w:rPr>
                <w:rStyle w:val="Domylnaczcionkaakapitu"/>
                <w:rFonts w:ascii="Calibri" w:hAnsi="Calibri"/>
                <w:b/>
                <w:bCs/>
                <w:color w:val="000000"/>
              </w:rPr>
              <w:t>37 osób (etatowo  - 36,5)</w:t>
            </w:r>
          </w:p>
        </w:tc>
      </w:tr>
      <w:tr>
        <w:trPr/>
        <w:tc>
          <w:tcPr>
            <w:tcW w:w="4819" w:type="dxa"/>
            <w:tcBorders>
              <w:start w:val="single" w:sz="4" w:space="0" w:color="000000"/>
              <w:bottom w:val="single" w:sz="4" w:space="0" w:color="000000"/>
            </w:tcBorders>
            <w:shd w:fill="FFBF00" w:val="clear"/>
            <w:vAlign w:val="center"/>
          </w:tcPr>
          <w:p>
            <w:pPr>
              <w:pStyle w:val="Normal"/>
              <w:jc w:val="center"/>
              <w:rPr>
                <w:rFonts w:ascii="Calibri" w:hAnsi="Calibri"/>
                <w:b/>
                <w:bCs/>
              </w:rPr>
            </w:pPr>
            <w:r>
              <w:rPr>
                <w:rFonts w:ascii="Calibri" w:hAnsi="Calibri"/>
                <w:b/>
                <w:bCs/>
              </w:rPr>
              <w:t>Pracownicy zatrudnieni do Projektu TCUŚ</w:t>
            </w:r>
          </w:p>
          <w:p>
            <w:pPr>
              <w:pStyle w:val="Normal"/>
              <w:jc w:val="center"/>
              <w:rPr>
                <w:rFonts w:ascii="Calibri" w:hAnsi="Calibri"/>
                <w:b/>
                <w:bCs/>
              </w:rPr>
            </w:pPr>
            <w:r>
              <w:rPr>
                <w:rFonts w:ascii="Calibri" w:hAnsi="Calibri"/>
                <w:b/>
                <w:bCs/>
              </w:rPr>
              <w:t>Mieszkania wspomagane</w:t>
            </w:r>
          </w:p>
        </w:tc>
        <w:tc>
          <w:tcPr>
            <w:tcW w:w="4819" w:type="dxa"/>
            <w:tcBorders>
              <w:start w:val="single" w:sz="4" w:space="0" w:color="000000"/>
              <w:bottom w:val="single" w:sz="4" w:space="0" w:color="000000"/>
              <w:end w:val="single" w:sz="4" w:space="0" w:color="000000"/>
            </w:tcBorders>
            <w:shd w:fill="FF8000" w:val="clear"/>
            <w:vAlign w:val="center"/>
          </w:tcPr>
          <w:p>
            <w:pPr>
              <w:pStyle w:val="Zawartotabeli"/>
              <w:widowControl w:val="false"/>
              <w:jc w:val="center"/>
              <w:rPr/>
            </w:pPr>
            <w:r>
              <w:rPr>
                <w:rStyle w:val="Domylnaczcionkaakapitu"/>
                <w:rFonts w:ascii="Calibri" w:hAnsi="Calibri"/>
                <w:b/>
                <w:bCs/>
                <w:color w:val="000000"/>
              </w:rPr>
              <w:t>1  osoba (etatowo  - 1)</w:t>
            </w:r>
          </w:p>
        </w:tc>
      </w:tr>
      <w:tr>
        <w:trPr/>
        <w:tc>
          <w:tcPr>
            <w:tcW w:w="4819" w:type="dxa"/>
            <w:tcBorders>
              <w:start w:val="single" w:sz="4" w:space="0" w:color="000000"/>
              <w:bottom w:val="single" w:sz="4" w:space="0" w:color="000000"/>
            </w:tcBorders>
            <w:shd w:fill="FFBF00" w:val="clear"/>
            <w:vAlign w:val="center"/>
          </w:tcPr>
          <w:p>
            <w:pPr>
              <w:pStyle w:val="Normal"/>
              <w:jc w:val="center"/>
              <w:rPr>
                <w:rFonts w:ascii="Calibri" w:hAnsi="Calibri"/>
                <w:b/>
                <w:bCs/>
              </w:rPr>
            </w:pPr>
            <w:r>
              <w:rPr>
                <w:rFonts w:ascii="Calibri" w:hAnsi="Calibri"/>
                <w:b/>
                <w:bCs/>
              </w:rPr>
              <w:t>Pracownicy zatrudnieni do Projektu MDR</w:t>
            </w:r>
          </w:p>
          <w:p>
            <w:pPr>
              <w:pStyle w:val="Normal"/>
              <w:jc w:val="center"/>
              <w:rPr>
                <w:rFonts w:ascii="Calibri" w:hAnsi="Calibri"/>
                <w:b/>
                <w:bCs/>
              </w:rPr>
            </w:pPr>
            <w:r>
              <w:rPr>
                <w:rFonts w:ascii="Calibri" w:hAnsi="Calibri"/>
                <w:b/>
                <w:bCs/>
              </w:rPr>
              <w:t>Placówka Wsparcia Dziennego - Świetlica</w:t>
            </w:r>
          </w:p>
        </w:tc>
        <w:tc>
          <w:tcPr>
            <w:tcW w:w="4819" w:type="dxa"/>
            <w:tcBorders>
              <w:start w:val="single" w:sz="4" w:space="0" w:color="000000"/>
              <w:bottom w:val="single" w:sz="4" w:space="0" w:color="000000"/>
              <w:end w:val="single" w:sz="4" w:space="0" w:color="000000"/>
            </w:tcBorders>
            <w:shd w:fill="FF8000" w:val="clear"/>
            <w:vAlign w:val="center"/>
          </w:tcPr>
          <w:p>
            <w:pPr>
              <w:pStyle w:val="Zawartotabeli"/>
              <w:widowControl w:val="false"/>
              <w:jc w:val="center"/>
              <w:rPr/>
            </w:pPr>
            <w:r>
              <w:rPr>
                <w:rStyle w:val="Domylnaczcionkaakapitu"/>
                <w:rFonts w:ascii="Calibri" w:hAnsi="Calibri"/>
                <w:b/>
                <w:bCs/>
                <w:color w:val="000000"/>
              </w:rPr>
              <w:t>3  osoby (etatowo  - 1,5)</w:t>
            </w:r>
          </w:p>
        </w:tc>
      </w:tr>
    </w:tbl>
    <w:p>
      <w:pPr>
        <w:pStyle w:val="Normal"/>
        <w:spacing w:lineRule="auto" w:line="360"/>
        <w:rPr>
          <w:rFonts w:ascii="Calibri" w:hAnsi="Calibri"/>
          <w:b/>
          <w:bCs/>
          <w:sz w:val="32"/>
          <w:szCs w:val="32"/>
        </w:rPr>
      </w:pPr>
      <w:r>
        <w:rPr>
          <w:rFonts w:ascii="Calibri" w:hAnsi="Calibri"/>
          <w:b/>
          <w:bCs/>
          <w:sz w:val="32"/>
          <w:szCs w:val="32"/>
        </w:rPr>
      </w:r>
      <w:r>
        <w:br w:type="page"/>
      </w:r>
    </w:p>
    <w:p>
      <w:pPr>
        <w:pStyle w:val="Normal"/>
        <w:spacing w:lineRule="auto" w:line="360"/>
        <w:jc w:val="center"/>
        <w:rPr/>
      </w:pPr>
      <w:r>
        <w:rPr>
          <w:rStyle w:val="Domylnaczcionkaakapitu"/>
          <w:rFonts w:ascii="Calibri" w:hAnsi="Calibri"/>
          <w:b/>
          <w:bCs/>
          <w:sz w:val="32"/>
          <w:szCs w:val="32"/>
        </w:rPr>
        <w:t xml:space="preserve">III. </w:t>
      </w:r>
      <w:r>
        <w:rPr>
          <w:rStyle w:val="Domylnaczcionkaakapitu"/>
          <w:rFonts w:cs="Calibri" w:ascii="Calibri" w:hAnsi="Calibri"/>
          <w:b/>
          <w:bCs/>
          <w:color w:val="55215B"/>
          <w:sz w:val="32"/>
          <w:szCs w:val="32"/>
        </w:rPr>
        <w:t xml:space="preserve"> </w:t>
      </w:r>
      <w:r>
        <w:rPr>
          <w:rStyle w:val="Domylnaczcionkaakapitu"/>
          <w:rFonts w:cs="Calibri" w:ascii="Calibri" w:hAnsi="Calibri"/>
          <w:b/>
          <w:bCs/>
          <w:color w:val="000000"/>
          <w:sz w:val="32"/>
          <w:szCs w:val="32"/>
        </w:rPr>
        <w:t>Zamówienia publiczne, Administracja i Obsługa</w:t>
      </w:r>
    </w:p>
    <w:p>
      <w:pPr>
        <w:pStyle w:val="Normal"/>
        <w:spacing w:lineRule="auto" w:line="276"/>
        <w:jc w:val="both"/>
        <w:rPr/>
      </w:pPr>
      <w:r>
        <w:rPr>
          <w:rStyle w:val="Domylnaczcionkaakapitu"/>
          <w:rFonts w:cs="Calibri" w:ascii="Calibri" w:hAnsi="Calibri"/>
          <w:b/>
          <w:bCs/>
          <w:color w:val="55215B"/>
        </w:rPr>
        <w:tab/>
        <w:t>Działania i zadania realizowane w 2025 roku.</w:t>
        <w:tab/>
        <w:tab/>
      </w:r>
    </w:p>
    <w:p>
      <w:pPr>
        <w:pStyle w:val="Normal"/>
        <w:spacing w:lineRule="auto" w:line="276"/>
        <w:jc w:val="both"/>
        <w:rPr>
          <w:rFonts w:ascii="Calibri" w:hAnsi="Calibri" w:cs="Calibri"/>
          <w:b/>
          <w:bCs/>
          <w:color w:val="55215B"/>
        </w:rPr>
      </w:pPr>
      <w:r>
        <w:rPr>
          <w:rFonts w:cs="Calibri" w:ascii="Calibri" w:hAnsi="Calibri"/>
          <w:b/>
          <w:bCs/>
          <w:color w:val="55215B"/>
        </w:rPr>
        <w:tab/>
        <w:tab/>
      </w:r>
    </w:p>
    <w:p>
      <w:pPr>
        <w:pStyle w:val="Normal"/>
        <w:numPr>
          <w:ilvl w:val="0"/>
          <w:numId w:val="18"/>
        </w:numPr>
        <w:spacing w:lineRule="auto" w:line="360"/>
        <w:jc w:val="both"/>
        <w:rPr/>
      </w:pPr>
      <w:r>
        <w:rPr>
          <w:rStyle w:val="Domylnaczcionkaakapitu"/>
          <w:rFonts w:cs="Calibri" w:ascii="Calibri" w:hAnsi="Calibri"/>
        </w:rPr>
        <w:t>1.</w:t>
        <w:tab/>
        <w:t>Udzielanie zamówień, których wartość nie przekracza kwoty 130 000 złotych w trybie zapytania ofertowego: na dostawy i  na usługi.</w:t>
      </w:r>
    </w:p>
    <w:p>
      <w:pPr>
        <w:pStyle w:val="Normal"/>
        <w:numPr>
          <w:ilvl w:val="0"/>
          <w:numId w:val="2"/>
        </w:numPr>
        <w:spacing w:lineRule="auto" w:line="360"/>
        <w:jc w:val="both"/>
        <w:rPr/>
      </w:pPr>
      <w:r>
        <w:rPr>
          <w:rStyle w:val="Domylnaczcionkaakapitu"/>
          <w:rFonts w:cs="Calibri" w:ascii="Calibri" w:hAnsi="Calibri"/>
        </w:rPr>
        <w:t>2.</w:t>
        <w:tab/>
      </w:r>
      <w:r>
        <w:rPr>
          <w:rStyle w:val="Teksttreci"/>
          <w:rFonts w:eastAsia="NSimSun" w:cs="Calibri" w:ascii="Calibri" w:hAnsi="Calibri"/>
          <w:sz w:val="24"/>
          <w:szCs w:val="24"/>
        </w:rPr>
        <w:t>Udziel</w:t>
      </w:r>
      <w:r>
        <w:rPr>
          <w:rStyle w:val="Teksttreci"/>
          <w:rFonts w:eastAsia="NSimSun" w:cs="Calibri" w:ascii="Calibri" w:hAnsi="Calibri"/>
          <w:color w:val="auto"/>
          <w:sz w:val="24"/>
          <w:szCs w:val="24"/>
        </w:rPr>
        <w:t>a</w:t>
      </w:r>
      <w:r>
        <w:rPr>
          <w:rStyle w:val="Teksttreci"/>
          <w:rFonts w:eastAsia="NSimSun" w:cs="Calibri" w:ascii="Calibri" w:hAnsi="Calibri"/>
          <w:sz w:val="24"/>
          <w:szCs w:val="24"/>
        </w:rPr>
        <w:t>nie zamówie</w:t>
      </w:r>
      <w:r>
        <w:rPr>
          <w:rStyle w:val="Teksttreci"/>
          <w:rFonts w:eastAsia="NSimSun" w:cs="Calibri" w:ascii="Calibri" w:hAnsi="Calibri"/>
          <w:color w:val="auto"/>
          <w:sz w:val="24"/>
          <w:szCs w:val="24"/>
        </w:rPr>
        <w:t>ń</w:t>
      </w:r>
      <w:r>
        <w:rPr>
          <w:rStyle w:val="Teksttreci"/>
          <w:rFonts w:eastAsia="NSimSun" w:cs="Calibri" w:ascii="Calibri" w:hAnsi="Calibri"/>
          <w:sz w:val="24"/>
          <w:szCs w:val="24"/>
        </w:rPr>
        <w:t xml:space="preserve"> klasycznych zgodnie z ustawą Prawo zamówień publicznych ogłoszonych w  </w:t>
      </w:r>
      <w:r>
        <w:rPr>
          <w:rStyle w:val="Teksttreci"/>
          <w:rFonts w:eastAsia="NSimSun" w:cs="Calibri" w:ascii="Calibri" w:hAnsi="Calibri"/>
          <w:color w:val="auto"/>
          <w:sz w:val="24"/>
          <w:szCs w:val="24"/>
        </w:rPr>
        <w:t>Biuletynie Zamówień Publicznych oraz w Europejskim Dzienniku Urzędowym.</w:t>
      </w:r>
    </w:p>
    <w:p>
      <w:pPr>
        <w:pStyle w:val="Normal"/>
        <w:spacing w:lineRule="auto" w:line="360"/>
        <w:jc w:val="both"/>
        <w:rPr/>
      </w:pPr>
      <w:r>
        <w:rPr>
          <w:rStyle w:val="Domylnaczcionkaakapitu"/>
          <w:rFonts w:ascii="Calibri" w:hAnsi="Calibri"/>
        </w:rPr>
        <w:t>3.</w:t>
        <w:tab/>
        <w:t xml:space="preserve"> </w:t>
      </w:r>
      <w:r>
        <w:rPr>
          <w:rStyle w:val="Teksttreci2"/>
          <w:rFonts w:eastAsia="NSimSun" w:cs="Calibri" w:ascii="Calibri" w:hAnsi="Calibri"/>
          <w:b w:val="false"/>
          <w:bCs w:val="false"/>
          <w:sz w:val="24"/>
          <w:szCs w:val="24"/>
        </w:rPr>
        <w:t>Udzielenie zamówień zgodnie z zasadą konkurencyjności w Bazie Konkurencyjności</w:t>
      </w:r>
    </w:p>
    <w:p>
      <w:pPr>
        <w:pStyle w:val="Normal"/>
        <w:spacing w:lineRule="auto" w:line="360"/>
        <w:jc w:val="both"/>
        <w:rPr/>
      </w:pPr>
      <w:r>
        <w:rPr>
          <w:rStyle w:val="Teksttreci2"/>
          <w:rFonts w:eastAsia="NSimSun" w:cs="Calibri" w:ascii="Calibri" w:hAnsi="Calibri"/>
          <w:b w:val="false"/>
          <w:bCs w:val="false"/>
          <w:sz w:val="24"/>
          <w:szCs w:val="24"/>
        </w:rPr>
        <w:t>4.</w:t>
        <w:tab/>
        <w:t>Doręczanie korespondencji</w:t>
      </w:r>
    </w:p>
    <w:tbl>
      <w:tblPr>
        <w:tblW w:w="9660" w:type="dxa"/>
        <w:jc w:val="start"/>
        <w:tblInd w:w="-1" w:type="dxa"/>
        <w:tblLayout w:type="fixed"/>
        <w:tblCellMar>
          <w:top w:w="55" w:type="dxa"/>
          <w:start w:w="55" w:type="dxa"/>
          <w:bottom w:w="55" w:type="dxa"/>
          <w:end w:w="55" w:type="dxa"/>
        </w:tblCellMar>
      </w:tblPr>
      <w:tblGrid>
        <w:gridCol w:w="1753"/>
        <w:gridCol w:w="2785"/>
        <w:gridCol w:w="3509"/>
        <w:gridCol w:w="1613"/>
      </w:tblGrid>
      <w:tr>
        <w:trPr>
          <w:trHeight w:val="1477" w:hRule="atLeast"/>
        </w:trPr>
        <w:tc>
          <w:tcPr>
            <w:tcW w:w="1753" w:type="dxa"/>
            <w:tcBorders>
              <w:top w:val="single" w:sz="2" w:space="0" w:color="000000"/>
              <w:start w:val="single" w:sz="2" w:space="0" w:color="000000"/>
              <w:bottom w:val="single" w:sz="2" w:space="0" w:color="000000"/>
            </w:tcBorders>
            <w:shd w:fill="FFBF00" w:val="clear"/>
            <w:vAlign w:val="center"/>
          </w:tcPr>
          <w:p>
            <w:pPr>
              <w:pStyle w:val="Nagwek1user"/>
              <w:tabs>
                <w:tab w:val="clear" w:pos="709"/>
              </w:tabs>
              <w:spacing w:before="240" w:after="120"/>
              <w:ind w:hanging="360" w:start="720"/>
              <w:jc w:val="center"/>
              <w:rPr>
                <w:rFonts w:ascii="Calibri" w:hAnsi="Calibri" w:cs="Calibri"/>
                <w:sz w:val="24"/>
                <w:szCs w:val="18"/>
              </w:rPr>
            </w:pPr>
            <w:r>
              <w:rPr>
                <w:rFonts w:cs="Calibri" w:ascii="Calibri" w:hAnsi="Calibri"/>
                <w:sz w:val="24"/>
                <w:szCs w:val="18"/>
              </w:rPr>
              <w:t>2025 rok</w:t>
            </w:r>
          </w:p>
        </w:tc>
        <w:tc>
          <w:tcPr>
            <w:tcW w:w="2785" w:type="dxa"/>
            <w:tcBorders>
              <w:top w:val="single" w:sz="2" w:space="0" w:color="000000"/>
              <w:start w:val="single" w:sz="2" w:space="0" w:color="000000"/>
              <w:bottom w:val="single" w:sz="2" w:space="0" w:color="000000"/>
            </w:tcBorders>
            <w:shd w:fill="FFBF00" w:val="clear"/>
            <w:vAlign w:val="center"/>
          </w:tcPr>
          <w:p>
            <w:pPr>
              <w:pStyle w:val="Nagwek1user"/>
              <w:tabs>
                <w:tab w:val="clear" w:pos="709"/>
              </w:tabs>
              <w:spacing w:before="240" w:after="120"/>
              <w:ind w:hanging="0" w:start="231"/>
              <w:jc w:val="center"/>
              <w:rPr>
                <w:rFonts w:ascii="Calibri" w:hAnsi="Calibri" w:cs="Calibri"/>
                <w:sz w:val="24"/>
                <w:szCs w:val="18"/>
              </w:rPr>
            </w:pPr>
            <w:r>
              <w:rPr>
                <w:rFonts w:cs="Calibri" w:ascii="Calibri" w:hAnsi="Calibri"/>
                <w:sz w:val="24"/>
                <w:szCs w:val="18"/>
              </w:rPr>
              <w:t>Świadczenia rodzinne, alimentacyjne</w:t>
            </w:r>
          </w:p>
        </w:tc>
        <w:tc>
          <w:tcPr>
            <w:tcW w:w="3509" w:type="dxa"/>
            <w:tcBorders>
              <w:top w:val="single" w:sz="2" w:space="0" w:color="000000"/>
              <w:start w:val="single" w:sz="2" w:space="0" w:color="000000"/>
              <w:bottom w:val="single" w:sz="2" w:space="0" w:color="000000"/>
            </w:tcBorders>
            <w:shd w:fill="FFBF00" w:val="clear"/>
            <w:vAlign w:val="center"/>
          </w:tcPr>
          <w:p>
            <w:pPr>
              <w:pStyle w:val="Nagwek1user"/>
              <w:tabs>
                <w:tab w:val="clear" w:pos="709"/>
              </w:tabs>
              <w:spacing w:before="240" w:after="120"/>
              <w:ind w:hanging="0" w:start="226"/>
              <w:jc w:val="center"/>
              <w:rPr/>
            </w:pPr>
            <w:r>
              <w:rPr>
                <w:rStyle w:val="Domylnaczcionkaakapitu"/>
                <w:rFonts w:cs="Calibri" w:ascii="Calibri" w:hAnsi="Calibri"/>
                <w:sz w:val="24"/>
                <w:szCs w:val="18"/>
              </w:rPr>
              <w:t>Świadczenia z pomocy społecznej, dodatki mieszkaniow</w:t>
            </w:r>
            <w:r>
              <w:rPr>
                <w:rStyle w:val="Domylnaczcionkaakapitu"/>
                <w:rFonts w:eastAsia="NSimSun" w:cs="Calibri" w:ascii="Calibri" w:hAnsi="Calibri"/>
                <w:sz w:val="24"/>
                <w:szCs w:val="18"/>
              </w:rPr>
              <w:t>e</w:t>
            </w:r>
            <w:r>
              <w:rPr>
                <w:rStyle w:val="Domylnaczcionkaakapitu"/>
                <w:rFonts w:cs="Calibri" w:ascii="Calibri" w:hAnsi="Calibri"/>
                <w:sz w:val="24"/>
                <w:szCs w:val="18"/>
              </w:rPr>
              <w:t>, stypendi</w:t>
            </w:r>
            <w:r>
              <w:rPr>
                <w:rStyle w:val="Domylnaczcionkaakapitu"/>
                <w:rFonts w:eastAsia="NSimSun" w:cs="Calibri" w:ascii="Calibri" w:hAnsi="Calibri"/>
                <w:sz w:val="24"/>
                <w:szCs w:val="18"/>
              </w:rPr>
              <w:t>a</w:t>
              <w:br/>
            </w:r>
            <w:r>
              <w:rPr>
                <w:rStyle w:val="Domylnaczcionkaakapitu"/>
                <w:rFonts w:cs="Calibri" w:ascii="Calibri" w:hAnsi="Calibri"/>
                <w:sz w:val="24"/>
                <w:szCs w:val="18"/>
              </w:rPr>
              <w:t>i zasiłk</w:t>
            </w:r>
            <w:r>
              <w:rPr>
                <w:rStyle w:val="Domylnaczcionkaakapitu"/>
                <w:rFonts w:eastAsia="NSimSun" w:cs="Calibri" w:ascii="Calibri" w:hAnsi="Calibri"/>
                <w:sz w:val="24"/>
                <w:szCs w:val="18"/>
              </w:rPr>
              <w:t>i</w:t>
            </w:r>
            <w:r>
              <w:rPr>
                <w:rStyle w:val="Domylnaczcionkaakapitu"/>
                <w:rFonts w:cs="Calibri" w:ascii="Calibri" w:hAnsi="Calibri"/>
                <w:sz w:val="24"/>
                <w:szCs w:val="18"/>
              </w:rPr>
              <w:t xml:space="preserve"> szkoln</w:t>
            </w:r>
            <w:r>
              <w:rPr>
                <w:rStyle w:val="Domylnaczcionkaakapitu"/>
                <w:rFonts w:eastAsia="NSimSun" w:cs="Calibri" w:ascii="Calibri" w:hAnsi="Calibri"/>
                <w:sz w:val="24"/>
                <w:szCs w:val="18"/>
              </w:rPr>
              <w:t>e</w:t>
            </w:r>
          </w:p>
        </w:tc>
        <w:tc>
          <w:tcPr>
            <w:tcW w:w="1613" w:type="dxa"/>
            <w:tcBorders>
              <w:top w:val="single" w:sz="2" w:space="0" w:color="000000"/>
              <w:start w:val="single" w:sz="2" w:space="0" w:color="000000"/>
              <w:bottom w:val="single" w:sz="2" w:space="0" w:color="000000"/>
              <w:end w:val="single" w:sz="2" w:space="0" w:color="000000"/>
            </w:tcBorders>
            <w:shd w:fill="FFBF00" w:val="clear"/>
            <w:vAlign w:val="center"/>
          </w:tcPr>
          <w:p>
            <w:pPr>
              <w:pStyle w:val="Nagwek1user"/>
              <w:tabs>
                <w:tab w:val="clear" w:pos="709"/>
              </w:tabs>
              <w:spacing w:before="240" w:after="120"/>
              <w:ind w:hanging="0" w:start="110"/>
              <w:jc w:val="center"/>
              <w:rPr>
                <w:rFonts w:ascii="Calibri" w:hAnsi="Calibri" w:cs="Calibri"/>
                <w:sz w:val="24"/>
                <w:szCs w:val="18"/>
              </w:rPr>
            </w:pPr>
            <w:r>
              <w:rPr>
                <w:rFonts w:cs="Calibri" w:ascii="Calibri" w:hAnsi="Calibri"/>
                <w:sz w:val="24"/>
                <w:szCs w:val="18"/>
              </w:rPr>
              <w:t>Łącznie</w:t>
            </w:r>
          </w:p>
        </w:tc>
      </w:tr>
      <w:tr>
        <w:trPr/>
        <w:tc>
          <w:tcPr>
            <w:tcW w:w="1753" w:type="dxa"/>
            <w:tcBorders>
              <w:start w:val="single" w:sz="2" w:space="0" w:color="000000"/>
              <w:bottom w:val="single" w:sz="2" w:space="0" w:color="000000"/>
            </w:tcBorders>
            <w:shd w:fill="FF4000" w:val="clear"/>
            <w:vAlign w:val="center"/>
          </w:tcPr>
          <w:p>
            <w:pPr>
              <w:pStyle w:val="Zawartotabeli"/>
              <w:widowControl w:val="false"/>
              <w:spacing w:lineRule="auto" w:line="276"/>
              <w:jc w:val="center"/>
              <w:rPr>
                <w:rFonts w:ascii="Calibri" w:hAnsi="Calibri" w:cs="Calibri"/>
                <w:b/>
                <w:bCs/>
                <w:i/>
                <w:iCs/>
              </w:rPr>
            </w:pPr>
            <w:r>
              <w:rPr>
                <w:rFonts w:cs="Calibri" w:ascii="Calibri" w:hAnsi="Calibri"/>
                <w:b/>
                <w:bCs/>
                <w:i/>
                <w:iCs/>
              </w:rPr>
              <w:t>Ilość korespondencji</w:t>
            </w:r>
          </w:p>
        </w:tc>
        <w:tc>
          <w:tcPr>
            <w:tcW w:w="2785" w:type="dxa"/>
            <w:tcBorders>
              <w:start w:val="single" w:sz="2" w:space="0" w:color="000000"/>
              <w:bottom w:val="single" w:sz="2" w:space="0" w:color="000000"/>
            </w:tcBorders>
            <w:shd w:fill="FF4000" w:val="clear"/>
            <w:vAlign w:val="center"/>
          </w:tcPr>
          <w:p>
            <w:pPr>
              <w:pStyle w:val="Zawartotabeli"/>
              <w:widowControl w:val="false"/>
              <w:spacing w:lineRule="auto" w:line="276"/>
              <w:jc w:val="center"/>
              <w:rPr>
                <w:rFonts w:ascii="Calibri" w:hAnsi="Calibri" w:cs="Calibri"/>
                <w:b/>
                <w:bCs/>
                <w:i/>
                <w:iCs/>
              </w:rPr>
            </w:pPr>
            <w:r>
              <w:rPr>
                <w:rFonts w:cs="Calibri" w:ascii="Calibri" w:hAnsi="Calibri"/>
                <w:b/>
                <w:bCs/>
                <w:i/>
                <w:iCs/>
              </w:rPr>
              <w:t>7 671</w:t>
            </w:r>
          </w:p>
        </w:tc>
        <w:tc>
          <w:tcPr>
            <w:tcW w:w="3509" w:type="dxa"/>
            <w:tcBorders>
              <w:start w:val="single" w:sz="2" w:space="0" w:color="000000"/>
              <w:bottom w:val="single" w:sz="2" w:space="0" w:color="000000"/>
            </w:tcBorders>
            <w:shd w:fill="FF4000" w:val="clear"/>
            <w:vAlign w:val="center"/>
          </w:tcPr>
          <w:p>
            <w:pPr>
              <w:pStyle w:val="Zawartotabeli"/>
              <w:widowControl w:val="false"/>
              <w:spacing w:lineRule="auto" w:line="276"/>
              <w:jc w:val="center"/>
              <w:rPr>
                <w:rFonts w:ascii="Calibri" w:hAnsi="Calibri" w:cs="Calibri"/>
                <w:b/>
                <w:bCs/>
                <w:i/>
                <w:iCs/>
              </w:rPr>
            </w:pPr>
            <w:r>
              <w:rPr>
                <w:rFonts w:cs="Calibri" w:ascii="Calibri" w:hAnsi="Calibri"/>
                <w:b/>
                <w:bCs/>
                <w:i/>
                <w:iCs/>
              </w:rPr>
              <w:t>14 008</w:t>
            </w:r>
          </w:p>
        </w:tc>
        <w:tc>
          <w:tcPr>
            <w:tcW w:w="1613" w:type="dxa"/>
            <w:tcBorders>
              <w:start w:val="single" w:sz="2" w:space="0" w:color="000000"/>
              <w:bottom w:val="single" w:sz="2" w:space="0" w:color="000000"/>
              <w:end w:val="single" w:sz="2" w:space="0" w:color="000000"/>
            </w:tcBorders>
            <w:shd w:fill="FF4000" w:val="clear"/>
            <w:vAlign w:val="center"/>
          </w:tcPr>
          <w:p>
            <w:pPr>
              <w:pStyle w:val="Zawartotabeli"/>
              <w:widowControl w:val="false"/>
              <w:spacing w:lineRule="auto" w:line="276"/>
              <w:jc w:val="center"/>
              <w:rPr>
                <w:rFonts w:ascii="Calibri" w:hAnsi="Calibri" w:cs="Calibri"/>
                <w:b/>
                <w:bCs/>
                <w:i/>
                <w:iCs/>
              </w:rPr>
            </w:pPr>
            <w:r>
              <w:rPr>
                <w:rFonts w:cs="Calibri" w:ascii="Calibri" w:hAnsi="Calibri"/>
                <w:b/>
                <w:bCs/>
                <w:i/>
                <w:iCs/>
              </w:rPr>
              <w:t>21 679</w:t>
            </w:r>
          </w:p>
        </w:tc>
      </w:tr>
    </w:tbl>
    <w:p>
      <w:pPr>
        <w:pStyle w:val="Normal"/>
        <w:spacing w:lineRule="auto" w:line="276"/>
        <w:rPr>
          <w:rFonts w:ascii="Calibri" w:hAnsi="Calibri"/>
        </w:rPr>
      </w:pPr>
      <w:r>
        <w:rPr>
          <w:rFonts w:ascii="Calibri" w:hAnsi="Calibri"/>
        </w:rPr>
      </w:r>
    </w:p>
    <w:p>
      <w:pPr>
        <w:pStyle w:val="Normal"/>
        <w:tabs>
          <w:tab w:val="clear" w:pos="709"/>
          <w:tab w:val="left" w:pos="223" w:leader="none"/>
        </w:tabs>
        <w:spacing w:lineRule="auto" w:line="360"/>
        <w:jc w:val="both"/>
        <w:rPr>
          <w:rFonts w:ascii="Calibri" w:hAnsi="Calibri" w:cs="Calibri"/>
        </w:rPr>
      </w:pPr>
      <w:r>
        <w:rPr>
          <w:rFonts w:cs="Calibri" w:ascii="Calibri" w:hAnsi="Calibri"/>
        </w:rPr>
        <w:t xml:space="preserve">5. </w:t>
        <w:tab/>
        <w:t xml:space="preserve">Administrowanie oraz dokonywanie napraw w mieszkaniach treningowych i wspomaganych </w:t>
        <w:tab/>
        <w:t>będących pod nadzorem Miejskiego Ośrodka Pomocy Społecznej w Tomaszowie Mazowieckim.</w:t>
      </w:r>
    </w:p>
    <w:p>
      <w:pPr>
        <w:pStyle w:val="Normal"/>
        <w:tabs>
          <w:tab w:val="clear" w:pos="709"/>
          <w:tab w:val="left" w:pos="223" w:leader="none"/>
        </w:tabs>
        <w:spacing w:lineRule="auto" w:line="360"/>
        <w:jc w:val="both"/>
        <w:rPr/>
      </w:pPr>
      <w:r>
        <w:rPr>
          <w:rStyle w:val="Domylnaczcionkaakapitu"/>
          <w:rFonts w:cs="Calibri" w:ascii="Calibri" w:hAnsi="Calibri"/>
        </w:rPr>
        <w:t xml:space="preserve">6. </w:t>
        <w:tab/>
        <w:t>Nadzorowanie prac osób skierowanych przez Sąd Rejonowy w Tomaszowie Mazowieckim do wykonywania nieodpłatnej kontrolowanej pracy na cele społeczne –</w:t>
      </w:r>
      <w:r>
        <w:rPr>
          <w:rStyle w:val="Domylnaczcionkaakapitu"/>
          <w:rFonts w:cs="Calibri" w:ascii="Calibri" w:hAnsi="Calibri"/>
          <w:color w:val="000000"/>
        </w:rPr>
        <w:t xml:space="preserve"> </w:t>
      </w:r>
      <w:r>
        <w:rPr>
          <w:rStyle w:val="Domylnaczcionkaakapitu"/>
          <w:rFonts w:cs="Calibri" w:ascii="Calibri" w:hAnsi="Calibri"/>
          <w:color w:val="000000"/>
          <w:shd w:fill="FFFFFF" w:val="clear"/>
        </w:rPr>
        <w:t xml:space="preserve">31 </w:t>
      </w:r>
      <w:r>
        <w:rPr>
          <w:rStyle w:val="Domylnaczcionkaakapitu"/>
          <w:rFonts w:cs="Calibri" w:ascii="Calibri" w:hAnsi="Calibri"/>
          <w:color w:val="000000"/>
        </w:rPr>
        <w:t>osób.</w:t>
      </w:r>
    </w:p>
    <w:p>
      <w:pPr>
        <w:pStyle w:val="Normal"/>
        <w:tabs>
          <w:tab w:val="clear" w:pos="709"/>
          <w:tab w:val="left" w:pos="223" w:leader="none"/>
        </w:tabs>
        <w:spacing w:lineRule="auto" w:line="360"/>
        <w:jc w:val="both"/>
        <w:rPr>
          <w:rFonts w:ascii="Calibri" w:hAnsi="Calibri" w:cs="Calibri"/>
        </w:rPr>
      </w:pPr>
      <w:r>
        <w:rPr>
          <w:rFonts w:cs="Calibri" w:ascii="Calibri" w:hAnsi="Calibri"/>
        </w:rPr>
        <w:t>7.</w:t>
        <w:tab/>
        <w:tab/>
        <w:t>Nadzorowanie osób wykonujących pracę w ramach prac społecznie użytecznych – 1 osoba.</w:t>
      </w:r>
    </w:p>
    <w:p>
      <w:pPr>
        <w:pStyle w:val="Normal"/>
        <w:tabs>
          <w:tab w:val="clear" w:pos="709"/>
          <w:tab w:val="left" w:pos="223" w:leader="none"/>
        </w:tabs>
        <w:spacing w:lineRule="auto" w:line="360"/>
        <w:jc w:val="both"/>
        <w:rPr>
          <w:rFonts w:ascii="Calibri" w:hAnsi="Calibri" w:cs="Calibri"/>
        </w:rPr>
      </w:pPr>
      <w:r>
        <w:rPr>
          <w:rFonts w:cs="Calibri" w:ascii="Calibri" w:hAnsi="Calibri"/>
        </w:rPr>
        <w:t>8.</w:t>
        <w:tab/>
        <w:tab/>
        <w:t>Przestrzeganie terminów i nadzorowanie przeglądów technicznych i budowlanych budynków będących w trwałym zarządzie Miejskiego Ośrodka Pomocy Społecznej w Tomaszowie Mazowieckim oraz sprzętu gaśniczego.</w:t>
      </w:r>
    </w:p>
    <w:p>
      <w:pPr>
        <w:pStyle w:val="Normal"/>
        <w:tabs>
          <w:tab w:val="clear" w:pos="709"/>
          <w:tab w:val="left" w:pos="223" w:leader="none"/>
        </w:tabs>
        <w:spacing w:lineRule="auto" w:line="360"/>
        <w:jc w:val="both"/>
        <w:rPr>
          <w:rFonts w:ascii="Calibri" w:hAnsi="Calibri" w:cs="Calibri"/>
        </w:rPr>
      </w:pPr>
      <w:r>
        <w:rPr>
          <w:rFonts w:cs="Calibri" w:ascii="Calibri" w:hAnsi="Calibri"/>
        </w:rPr>
        <w:t xml:space="preserve">9. </w:t>
        <w:tab/>
        <w:t>Współpraca ze służbami BHP w celu przeprowadzania kontroli warunków pracy oraz likwidacji zagrożeń występujących w środowisku pracy.</w:t>
      </w:r>
    </w:p>
    <w:p>
      <w:pPr>
        <w:pStyle w:val="Normal"/>
        <w:spacing w:lineRule="auto" w:line="360"/>
        <w:jc w:val="both"/>
        <w:rPr>
          <w:rFonts w:ascii="Calibri" w:hAnsi="Calibri" w:cs="Calibri"/>
        </w:rPr>
      </w:pPr>
      <w:r>
        <w:rPr>
          <w:rFonts w:cs="Calibri" w:ascii="Calibri" w:hAnsi="Calibri"/>
        </w:rPr>
        <w:t xml:space="preserve">10. </w:t>
        <w:tab/>
        <w:t>Analizowanie stanu bezpieczeństwa w środowisku pracy.</w:t>
      </w:r>
    </w:p>
    <w:p>
      <w:pPr>
        <w:pStyle w:val="Normal"/>
        <w:tabs>
          <w:tab w:val="clear" w:pos="709"/>
          <w:tab w:val="left" w:pos="343" w:leader="none"/>
        </w:tabs>
        <w:spacing w:lineRule="auto" w:line="360"/>
        <w:jc w:val="both"/>
        <w:rPr>
          <w:rFonts w:ascii="Calibri" w:hAnsi="Calibri" w:cs="Calibri"/>
        </w:rPr>
      </w:pPr>
      <w:r>
        <w:rPr>
          <w:rFonts w:cs="Calibri" w:ascii="Calibri" w:hAnsi="Calibri"/>
        </w:rPr>
        <w:t xml:space="preserve">11. </w:t>
        <w:tab/>
        <w:t>Dbanie o porządek oraz estetykę terenów zielonych należących do Miejskiego Ośrodka Pomocy Społecznej w Tomaszowie Mazowieckim.</w:t>
      </w:r>
    </w:p>
    <w:p>
      <w:pPr>
        <w:pStyle w:val="Normal"/>
        <w:spacing w:lineRule="auto" w:line="360"/>
        <w:jc w:val="both"/>
        <w:rPr>
          <w:rFonts w:ascii="Calibri" w:hAnsi="Calibri"/>
          <w:b/>
          <w:bCs/>
          <w:sz w:val="32"/>
          <w:szCs w:val="32"/>
        </w:rPr>
      </w:pPr>
      <w:r>
        <w:rPr>
          <w:rFonts w:ascii="Calibri" w:hAnsi="Calibri"/>
          <w:b/>
          <w:bCs/>
          <w:sz w:val="32"/>
          <w:szCs w:val="32"/>
        </w:rPr>
      </w:r>
    </w:p>
    <w:p>
      <w:pPr>
        <w:pStyle w:val="Normal"/>
        <w:spacing w:lineRule="auto" w:line="360"/>
        <w:jc w:val="both"/>
        <w:rPr>
          <w:rFonts w:ascii="Calibri" w:hAnsi="Calibri"/>
          <w:b/>
          <w:bCs/>
          <w:sz w:val="32"/>
          <w:szCs w:val="32"/>
        </w:rPr>
      </w:pPr>
      <w:r>
        <w:rPr>
          <w:rFonts w:ascii="Calibri" w:hAnsi="Calibri"/>
          <w:b/>
          <w:bCs/>
          <w:sz w:val="32"/>
          <w:szCs w:val="32"/>
        </w:rPr>
      </w:r>
    </w:p>
    <w:p>
      <w:pPr>
        <w:pStyle w:val="Normal"/>
        <w:spacing w:lineRule="auto" w:line="360"/>
        <w:jc w:val="both"/>
        <w:rPr>
          <w:rFonts w:ascii="Calibri" w:hAnsi="Calibri"/>
          <w:b/>
          <w:bCs/>
          <w:sz w:val="32"/>
          <w:szCs w:val="32"/>
        </w:rPr>
      </w:pPr>
      <w:r>
        <w:rPr>
          <w:rFonts w:ascii="Calibri" w:hAnsi="Calibri"/>
          <w:b/>
          <w:bCs/>
          <w:sz w:val="32"/>
          <w:szCs w:val="32"/>
        </w:rPr>
      </w:r>
      <w:r>
        <w:br w:type="page"/>
      </w:r>
    </w:p>
    <w:p>
      <w:pPr>
        <w:pStyle w:val="Normal"/>
        <w:spacing w:lineRule="auto" w:line="360"/>
        <w:jc w:val="center"/>
        <w:rPr/>
      </w:pPr>
      <w:r>
        <w:rPr>
          <w:rStyle w:val="Domylnaczcionkaakapitu"/>
          <w:rFonts w:ascii="Calibri" w:hAnsi="Calibri"/>
          <w:b/>
          <w:bCs/>
          <w:sz w:val="32"/>
          <w:szCs w:val="32"/>
        </w:rPr>
        <w:t xml:space="preserve">IV. </w:t>
      </w:r>
      <w:r>
        <w:rPr>
          <w:rStyle w:val="Domylnaczcionkaakapitu"/>
          <w:rFonts w:cs="Calibri" w:ascii="Calibri" w:hAnsi="Calibri"/>
          <w:b/>
          <w:bCs/>
          <w:color w:val="55215B"/>
          <w:sz w:val="32"/>
          <w:szCs w:val="32"/>
        </w:rPr>
        <w:t xml:space="preserve"> </w:t>
      </w:r>
      <w:r>
        <w:rPr>
          <w:rStyle w:val="Domylnaczcionkaakapitu"/>
          <w:rFonts w:cs="Calibri" w:ascii="Calibri" w:hAnsi="Calibri"/>
          <w:b/>
          <w:bCs/>
          <w:color w:val="000000"/>
          <w:sz w:val="32"/>
          <w:szCs w:val="32"/>
        </w:rPr>
        <w:t>Budżet Miejskiego Ośrodka Pomocy Społecznej w Tomaszowie Maz.</w:t>
      </w:r>
    </w:p>
    <w:p>
      <w:pPr>
        <w:pStyle w:val="Normal"/>
        <w:spacing w:lineRule="auto" w:line="360"/>
        <w:jc w:val="both"/>
        <w:rPr>
          <w:rFonts w:ascii="Calibri" w:hAnsi="Calibri"/>
          <w:b/>
          <w:bCs/>
          <w:color w:val="55215B"/>
        </w:rPr>
      </w:pPr>
      <w:r>
        <w:rPr>
          <w:rFonts w:ascii="Calibri" w:hAnsi="Calibri"/>
          <w:b/>
          <w:bCs/>
          <w:color w:val="55215B"/>
        </w:rPr>
        <w:t xml:space="preserve">Finansowanie zadań w obszarze pomocy społecznej:  </w:t>
      </w:r>
    </w:p>
    <w:p>
      <w:pPr>
        <w:pStyle w:val="Normal"/>
        <w:numPr>
          <w:ilvl w:val="1"/>
          <w:numId w:val="3"/>
        </w:numPr>
        <w:tabs>
          <w:tab w:val="clear" w:pos="709"/>
        </w:tabs>
        <w:spacing w:lineRule="auto" w:line="276"/>
        <w:ind w:hanging="0" w:start="0"/>
        <w:jc w:val="both"/>
        <w:rPr/>
      </w:pPr>
      <w:r>
        <w:rPr>
          <w:rStyle w:val="Domylnaczcionkaakapitu"/>
          <w:rFonts w:ascii="Calibri" w:hAnsi="Calibri"/>
          <w:b/>
          <w:bCs/>
          <w:i/>
          <w:iCs/>
          <w:color w:val="55215B"/>
        </w:rPr>
        <w:t>zadania własne</w:t>
      </w:r>
      <w:r>
        <w:rPr>
          <w:rStyle w:val="Domylnaczcionkaakapitu"/>
          <w:rFonts w:ascii="Calibri" w:hAnsi="Calibri"/>
          <w:i/>
          <w:iCs/>
        </w:rPr>
        <w:t xml:space="preserve"> </w:t>
      </w:r>
      <w:r>
        <w:rPr>
          <w:rStyle w:val="Domylnaczcionkaakapitu"/>
          <w:rFonts w:ascii="Calibri" w:hAnsi="Calibri"/>
        </w:rPr>
        <w:t>(finansowane są z własnych środków jednostki z możliwością otrzymania dotacji celowych z budżetu państwa na ich dofinansowanie),</w:t>
      </w:r>
    </w:p>
    <w:p>
      <w:pPr>
        <w:pStyle w:val="Normal"/>
        <w:numPr>
          <w:ilvl w:val="1"/>
          <w:numId w:val="3"/>
        </w:numPr>
        <w:tabs>
          <w:tab w:val="clear" w:pos="709"/>
        </w:tabs>
        <w:spacing w:lineRule="auto" w:line="276"/>
        <w:ind w:hanging="0" w:start="0"/>
        <w:jc w:val="both"/>
        <w:rPr/>
      </w:pPr>
      <w:r>
        <w:rPr>
          <w:rStyle w:val="Domylnaczcionkaakapitu"/>
          <w:rFonts w:ascii="Calibri" w:hAnsi="Calibri"/>
          <w:b/>
          <w:bCs/>
          <w:i/>
          <w:iCs/>
          <w:color w:val="55215B"/>
        </w:rPr>
        <w:t>zadania zlecone</w:t>
      </w:r>
      <w:r>
        <w:rPr>
          <w:rStyle w:val="Domylnaczcionkaakapitu"/>
          <w:rFonts w:ascii="Calibri" w:hAnsi="Calibri"/>
          <w:color w:val="55215B"/>
        </w:rPr>
        <w:t xml:space="preserve"> </w:t>
      </w:r>
      <w:r>
        <w:rPr>
          <w:rStyle w:val="Domylnaczcionkaakapitu"/>
          <w:rFonts w:ascii="Calibri" w:hAnsi="Calibri"/>
        </w:rPr>
        <w:t>( realizację zapewnia budżet państwa w formie dotacji).</w:t>
      </w:r>
    </w:p>
    <w:p>
      <w:pPr>
        <w:pStyle w:val="Normal"/>
        <w:spacing w:lineRule="auto" w:line="360"/>
        <w:jc w:val="both"/>
        <w:rPr>
          <w:rFonts w:ascii="Calibri" w:hAnsi="Calibri"/>
        </w:rPr>
      </w:pPr>
      <w:r>
        <w:rPr>
          <w:rFonts w:ascii="Calibri" w:hAnsi="Calibri"/>
        </w:rPr>
      </w:r>
    </w:p>
    <w:p>
      <w:pPr>
        <w:pStyle w:val="Normal"/>
        <w:spacing w:lineRule="auto" w:line="360"/>
        <w:jc w:val="both"/>
        <w:rPr/>
      </w:pPr>
      <w:r>
        <w:rPr>
          <w:rStyle w:val="Domylnaczcionkaakapitu"/>
          <w:rFonts w:ascii="Calibri" w:hAnsi="Calibri"/>
        </w:rPr>
        <w:tab/>
        <w:t xml:space="preserve">W 2025 roku wydatkowano kwotę:  </w:t>
      </w:r>
      <w:r>
        <w:rPr>
          <w:rStyle w:val="Domylnaczcionkaakapitu"/>
          <w:rFonts w:ascii="Calibri" w:hAnsi="Calibri"/>
          <w:b/>
          <w:bCs/>
        </w:rPr>
        <w:t>80 953 006,99 zł</w:t>
      </w:r>
      <w:r>
        <w:rPr>
          <w:rStyle w:val="Domylnaczcionkaakapitu"/>
          <w:rFonts w:ascii="Calibri" w:hAnsi="Calibri"/>
        </w:rPr>
        <w:t>, w tym:</w:t>
      </w:r>
    </w:p>
    <w:p>
      <w:pPr>
        <w:pStyle w:val="Normal"/>
        <w:spacing w:lineRule="auto" w:line="360"/>
        <w:jc w:val="both"/>
        <w:rPr/>
      </w:pPr>
      <w:r>
        <w:rPr>
          <w:rStyle w:val="Domylnaczcionkaakapitu"/>
          <w:rFonts w:ascii="Calibri" w:hAnsi="Calibri"/>
          <w:b/>
          <w:bCs/>
        </w:rPr>
        <w:t xml:space="preserve">I. na realizację zadań zleconych </w:t>
      </w:r>
      <w:r>
        <w:rPr>
          <w:rStyle w:val="Domylnaczcionkaakapitu"/>
          <w:rFonts w:ascii="Calibri" w:hAnsi="Calibri"/>
        </w:rPr>
        <w:t>wydatkowano kwotę</w:t>
      </w:r>
      <w:r>
        <w:rPr>
          <w:rStyle w:val="Domylnaczcionkaakapitu"/>
          <w:rFonts w:ascii="Calibri" w:hAnsi="Calibri"/>
          <w:b/>
          <w:bCs/>
        </w:rPr>
        <w:t xml:space="preserve"> 38 059 652,30 zł</w:t>
      </w:r>
      <w:r>
        <w:rPr>
          <w:rStyle w:val="Domylnaczcionkaakapitu"/>
          <w:rFonts w:ascii="Calibri" w:hAnsi="Calibri"/>
        </w:rPr>
        <w:t>, z tego:</w:t>
      </w:r>
    </w:p>
    <w:p>
      <w:pPr>
        <w:pStyle w:val="Normal"/>
        <w:spacing w:lineRule="auto" w:line="360"/>
        <w:rPr>
          <w:rFonts w:ascii="Calibri" w:hAnsi="Calibri"/>
        </w:rPr>
      </w:pPr>
      <w:r>
        <w:rPr>
          <w:rFonts w:ascii="Calibri" w:hAnsi="Calibri"/>
        </w:rPr>
      </w:r>
    </w:p>
    <w:tbl>
      <w:tblPr>
        <w:tblW w:w="9513" w:type="dxa"/>
        <w:jc w:val="start"/>
        <w:tblInd w:w="127" w:type="dxa"/>
        <w:tblLayout w:type="fixed"/>
        <w:tblCellMar>
          <w:top w:w="55" w:type="dxa"/>
          <w:start w:w="55" w:type="dxa"/>
          <w:bottom w:w="55" w:type="dxa"/>
          <w:end w:w="55" w:type="dxa"/>
        </w:tblCellMar>
      </w:tblPr>
      <w:tblGrid>
        <w:gridCol w:w="513"/>
        <w:gridCol w:w="1450"/>
        <w:gridCol w:w="3025"/>
        <w:gridCol w:w="2837"/>
        <w:gridCol w:w="1688"/>
      </w:tblGrid>
      <w:tr>
        <w:trPr/>
        <w:tc>
          <w:tcPr>
            <w:tcW w:w="513" w:type="dxa"/>
            <w:tcBorders>
              <w:top w:val="single" w:sz="2" w:space="0" w:color="000000"/>
              <w:start w:val="single" w:sz="2" w:space="0" w:color="000000"/>
              <w:bottom w:val="single" w:sz="2" w:space="0" w:color="000000"/>
              <w:end w:val="single" w:sz="2" w:space="0" w:color="000000"/>
            </w:tcBorders>
            <w:shd w:fill="FF4000" w:val="clear"/>
            <w:vAlign w:val="center"/>
          </w:tcPr>
          <w:p>
            <w:pPr>
              <w:pStyle w:val="Zawartotabeli"/>
              <w:jc w:val="center"/>
              <w:rPr>
                <w:rFonts w:ascii="Calibri" w:hAnsi="Calibri"/>
                <w:b/>
                <w:bCs/>
                <w:i/>
                <w:iCs/>
              </w:rPr>
            </w:pPr>
            <w:r>
              <w:rPr>
                <w:rFonts w:ascii="Calibri" w:hAnsi="Calibri"/>
                <w:b/>
                <w:bCs/>
                <w:i/>
                <w:iCs/>
              </w:rPr>
              <w:t>Lp.</w:t>
            </w:r>
          </w:p>
        </w:tc>
        <w:tc>
          <w:tcPr>
            <w:tcW w:w="1450" w:type="dxa"/>
            <w:tcBorders>
              <w:top w:val="single" w:sz="2" w:space="0" w:color="000000"/>
              <w:start w:val="single" w:sz="2" w:space="0" w:color="000000"/>
              <w:bottom w:val="single" w:sz="2" w:space="0" w:color="000000"/>
            </w:tcBorders>
            <w:shd w:fill="FF4000" w:val="clear"/>
            <w:vAlign w:val="center"/>
          </w:tcPr>
          <w:p>
            <w:pPr>
              <w:pStyle w:val="Zawartotabeli"/>
              <w:jc w:val="center"/>
              <w:rPr>
                <w:rFonts w:ascii="Calibri" w:hAnsi="Calibri"/>
                <w:b/>
                <w:bCs/>
                <w:i/>
                <w:iCs/>
              </w:rPr>
            </w:pPr>
            <w:r>
              <w:rPr>
                <w:rFonts w:ascii="Calibri" w:hAnsi="Calibri"/>
                <w:b/>
                <w:bCs/>
                <w:i/>
                <w:iCs/>
              </w:rPr>
              <w:t>Rozdział</w:t>
            </w:r>
          </w:p>
        </w:tc>
        <w:tc>
          <w:tcPr>
            <w:tcW w:w="3025" w:type="dxa"/>
            <w:tcBorders>
              <w:top w:val="single" w:sz="2" w:space="0" w:color="000000"/>
              <w:start w:val="single" w:sz="2" w:space="0" w:color="000000"/>
              <w:bottom w:val="single" w:sz="2" w:space="0" w:color="000000"/>
            </w:tcBorders>
            <w:shd w:fill="FF4000" w:val="clear"/>
            <w:vAlign w:val="center"/>
          </w:tcPr>
          <w:p>
            <w:pPr>
              <w:pStyle w:val="Zawartotabeli"/>
              <w:jc w:val="center"/>
              <w:rPr>
                <w:rFonts w:ascii="Calibri" w:hAnsi="Calibri"/>
                <w:b/>
                <w:bCs/>
                <w:i/>
                <w:iCs/>
              </w:rPr>
            </w:pPr>
            <w:r>
              <w:rPr>
                <w:rFonts w:ascii="Calibri" w:hAnsi="Calibri"/>
                <w:b/>
                <w:bCs/>
                <w:i/>
                <w:iCs/>
              </w:rPr>
              <w:t>Nazwa świadczenia</w:t>
            </w:r>
          </w:p>
        </w:tc>
        <w:tc>
          <w:tcPr>
            <w:tcW w:w="2837" w:type="dxa"/>
            <w:tcBorders>
              <w:top w:val="single" w:sz="2" w:space="0" w:color="000000"/>
              <w:start w:val="single" w:sz="2" w:space="0" w:color="000000"/>
              <w:bottom w:val="single" w:sz="2" w:space="0" w:color="000000"/>
            </w:tcBorders>
            <w:shd w:fill="FF4000" w:val="clear"/>
            <w:vAlign w:val="center"/>
          </w:tcPr>
          <w:p>
            <w:pPr>
              <w:pStyle w:val="Zawartotabeli"/>
              <w:jc w:val="center"/>
              <w:rPr>
                <w:rFonts w:ascii="Calibri" w:hAnsi="Calibri"/>
                <w:b/>
                <w:bCs/>
                <w:i/>
                <w:iCs/>
              </w:rPr>
            </w:pPr>
            <w:r>
              <w:rPr>
                <w:rFonts w:ascii="Calibri" w:hAnsi="Calibri"/>
                <w:b/>
                <w:bCs/>
                <w:i/>
                <w:iCs/>
              </w:rPr>
              <w:t>Rodzaj świadczenia</w:t>
            </w:r>
          </w:p>
        </w:tc>
        <w:tc>
          <w:tcPr>
            <w:tcW w:w="1688" w:type="dxa"/>
            <w:tcBorders>
              <w:top w:val="single" w:sz="2" w:space="0" w:color="000000"/>
              <w:start w:val="single" w:sz="2" w:space="0" w:color="000000"/>
              <w:bottom w:val="single" w:sz="2" w:space="0" w:color="000000"/>
              <w:end w:val="single" w:sz="2" w:space="0" w:color="000000"/>
            </w:tcBorders>
            <w:shd w:fill="FF4000" w:val="clear"/>
            <w:vAlign w:val="center"/>
          </w:tcPr>
          <w:p>
            <w:pPr>
              <w:pStyle w:val="Zawartotabeli"/>
              <w:jc w:val="center"/>
              <w:rPr>
                <w:rFonts w:ascii="Calibri" w:hAnsi="Calibri"/>
                <w:b/>
                <w:bCs/>
                <w:i/>
                <w:iCs/>
              </w:rPr>
            </w:pPr>
            <w:r>
              <w:rPr>
                <w:rFonts w:ascii="Calibri" w:hAnsi="Calibri"/>
                <w:b/>
                <w:bCs/>
                <w:i/>
                <w:iCs/>
              </w:rPr>
              <w:t>Kwota</w:t>
            </w:r>
          </w:p>
        </w:tc>
      </w:tr>
      <w:tr>
        <w:trPr/>
        <w:tc>
          <w:tcPr>
            <w:tcW w:w="513" w:type="dxa"/>
            <w:vMerge w:val="restart"/>
            <w:tcBorders>
              <w:start w:val="single" w:sz="2" w:space="0" w:color="000000"/>
              <w:bottom w:val="single" w:sz="2" w:space="0" w:color="000000"/>
              <w:end w:val="single" w:sz="2" w:space="0" w:color="000000"/>
            </w:tcBorders>
            <w:shd w:fill="FFBF00" w:val="clear"/>
            <w:vAlign w:val="center"/>
          </w:tcPr>
          <w:p>
            <w:pPr>
              <w:pStyle w:val="Zawartotabeli"/>
              <w:jc w:val="center"/>
              <w:rPr>
                <w:rFonts w:ascii="Calibri" w:hAnsi="Calibri"/>
                <w:b/>
                <w:bCs/>
              </w:rPr>
            </w:pPr>
            <w:r>
              <w:rPr>
                <w:rFonts w:ascii="Calibri" w:hAnsi="Calibri"/>
                <w:b/>
                <w:bCs/>
              </w:rPr>
              <w:t>1.</w:t>
            </w:r>
          </w:p>
        </w:tc>
        <w:tc>
          <w:tcPr>
            <w:tcW w:w="1450" w:type="dxa"/>
            <w:vMerge w:val="restart"/>
            <w:tcBorders>
              <w:start w:val="single" w:sz="2" w:space="0" w:color="000000"/>
              <w:bottom w:val="single" w:sz="2" w:space="0" w:color="000000"/>
            </w:tcBorders>
            <w:shd w:fill="ACB20C" w:val="clear"/>
            <w:vAlign w:val="center"/>
          </w:tcPr>
          <w:p>
            <w:pPr>
              <w:pStyle w:val="Zawartotabeli"/>
              <w:jc w:val="center"/>
              <w:rPr>
                <w:rFonts w:ascii="Calibri" w:hAnsi="Calibri"/>
                <w:b/>
                <w:bCs/>
              </w:rPr>
            </w:pPr>
            <w:r>
              <w:rPr>
                <w:rFonts w:ascii="Calibri" w:hAnsi="Calibri"/>
                <w:b/>
                <w:bCs/>
              </w:rPr>
              <w:t>85215</w:t>
            </w:r>
          </w:p>
        </w:tc>
        <w:tc>
          <w:tcPr>
            <w:tcW w:w="3025" w:type="dxa"/>
            <w:vMerge w:val="restart"/>
            <w:tcBorders>
              <w:start w:val="single" w:sz="2" w:space="0" w:color="000000"/>
              <w:bottom w:val="single" w:sz="2" w:space="0" w:color="000000"/>
            </w:tcBorders>
            <w:shd w:fill="FFDE59" w:val="clear"/>
            <w:vAlign w:val="center"/>
          </w:tcPr>
          <w:p>
            <w:pPr>
              <w:pStyle w:val="Zawartotabeli"/>
              <w:jc w:val="center"/>
              <w:rPr>
                <w:rFonts w:ascii="Calibri" w:hAnsi="Calibri"/>
                <w:b/>
                <w:bCs/>
              </w:rPr>
            </w:pPr>
            <w:r>
              <w:rPr>
                <w:rFonts w:ascii="Calibri" w:hAnsi="Calibri"/>
                <w:b/>
                <w:bCs/>
              </w:rPr>
              <w:t>Bon energetyczny</w:t>
            </w:r>
          </w:p>
        </w:tc>
        <w:tc>
          <w:tcPr>
            <w:tcW w:w="2837" w:type="dxa"/>
            <w:tcBorders>
              <w:start w:val="single" w:sz="2" w:space="0" w:color="000000"/>
              <w:bottom w:val="single" w:sz="2" w:space="0" w:color="000000"/>
            </w:tcBorders>
            <w:shd w:fill="E6E905" w:val="clear"/>
            <w:vAlign w:val="center"/>
          </w:tcPr>
          <w:p>
            <w:pPr>
              <w:pStyle w:val="Zawartotabeli"/>
              <w:jc w:val="center"/>
              <w:rPr>
                <w:rFonts w:ascii="Calibri" w:hAnsi="Calibri"/>
              </w:rPr>
            </w:pPr>
            <w:r>
              <w:rPr>
                <w:rFonts w:ascii="Calibri" w:hAnsi="Calibri"/>
              </w:rPr>
            </w:r>
          </w:p>
        </w:tc>
        <w:tc>
          <w:tcPr>
            <w:tcW w:w="1688" w:type="dxa"/>
            <w:tcBorders>
              <w:start w:val="single" w:sz="2" w:space="0" w:color="000000"/>
              <w:bottom w:val="single" w:sz="2" w:space="0" w:color="000000"/>
              <w:end w:val="single" w:sz="2" w:space="0" w:color="000000"/>
            </w:tcBorders>
            <w:shd w:fill="5EB91E" w:val="clear"/>
            <w:vAlign w:val="center"/>
          </w:tcPr>
          <w:p>
            <w:pPr>
              <w:pStyle w:val="Zawartotabeli"/>
              <w:jc w:val="center"/>
              <w:rPr>
                <w:rFonts w:ascii="Calibri" w:hAnsi="Calibri"/>
                <w:b/>
                <w:bCs/>
              </w:rPr>
            </w:pPr>
            <w:r>
              <w:rPr>
                <w:rFonts w:ascii="Calibri" w:hAnsi="Calibri"/>
                <w:b/>
                <w:bCs/>
              </w:rPr>
              <w:t>435,65 zł</w:t>
            </w:r>
          </w:p>
        </w:tc>
      </w:tr>
      <w:tr>
        <w:trPr/>
        <w:tc>
          <w:tcPr>
            <w:tcW w:w="513" w:type="dxa"/>
            <w:vMerge w:val="continue"/>
            <w:tcBorders>
              <w:start w:val="single" w:sz="2" w:space="0" w:color="000000"/>
              <w:bottom w:val="single" w:sz="2" w:space="0" w:color="000000"/>
              <w:end w:val="single" w:sz="2" w:space="0" w:color="000000"/>
            </w:tcBorders>
            <w:shd w:fill="FFBF00" w:val="clear"/>
            <w:vAlign w:val="center"/>
          </w:tcPr>
          <w:p>
            <w:pPr>
              <w:pStyle w:val="Normal"/>
              <w:rPr/>
            </w:pPr>
            <w:r>
              <w:rPr/>
            </w:r>
          </w:p>
        </w:tc>
        <w:tc>
          <w:tcPr>
            <w:tcW w:w="1450" w:type="dxa"/>
            <w:vMerge w:val="continue"/>
            <w:tcBorders>
              <w:start w:val="single" w:sz="2" w:space="0" w:color="000000"/>
              <w:bottom w:val="single" w:sz="2" w:space="0" w:color="000000"/>
            </w:tcBorders>
            <w:shd w:fill="ACB20C" w:val="clear"/>
            <w:vAlign w:val="center"/>
          </w:tcPr>
          <w:p>
            <w:pPr>
              <w:pStyle w:val="Normal"/>
              <w:rPr/>
            </w:pPr>
            <w:r>
              <w:rPr/>
            </w:r>
          </w:p>
        </w:tc>
        <w:tc>
          <w:tcPr>
            <w:tcW w:w="3025" w:type="dxa"/>
            <w:vMerge w:val="continue"/>
            <w:tcBorders>
              <w:start w:val="single" w:sz="2" w:space="0" w:color="000000"/>
              <w:bottom w:val="single" w:sz="2" w:space="0" w:color="000000"/>
            </w:tcBorders>
            <w:shd w:fill="FFDE59" w:val="clear"/>
            <w:vAlign w:val="center"/>
          </w:tcPr>
          <w:p>
            <w:pPr>
              <w:pStyle w:val="Normal"/>
              <w:rPr/>
            </w:pPr>
            <w:r>
              <w:rPr/>
            </w:r>
          </w:p>
        </w:tc>
        <w:tc>
          <w:tcPr>
            <w:tcW w:w="2837" w:type="dxa"/>
            <w:tcBorders>
              <w:start w:val="single" w:sz="2" w:space="0" w:color="000000"/>
              <w:bottom w:val="single" w:sz="2" w:space="0" w:color="000000"/>
            </w:tcBorders>
            <w:shd w:fill="E6E905" w:val="clear"/>
            <w:vAlign w:val="center"/>
          </w:tcPr>
          <w:p>
            <w:pPr>
              <w:pStyle w:val="Zawartotabeli"/>
              <w:jc w:val="center"/>
              <w:rPr>
                <w:rFonts w:ascii="Calibri" w:hAnsi="Calibri"/>
              </w:rPr>
            </w:pPr>
            <w:r>
              <w:rPr>
                <w:rFonts w:ascii="Calibri" w:hAnsi="Calibri"/>
              </w:rPr>
              <w:t>świadczenia społeczne</w:t>
            </w:r>
          </w:p>
        </w:tc>
        <w:tc>
          <w:tcPr>
            <w:tcW w:w="1688" w:type="dxa"/>
            <w:tcBorders>
              <w:start w:val="single" w:sz="2" w:space="0" w:color="000000"/>
              <w:bottom w:val="single" w:sz="2" w:space="0" w:color="000000"/>
              <w:end w:val="single" w:sz="2" w:space="0" w:color="000000"/>
            </w:tcBorders>
            <w:shd w:fill="5EB91E" w:val="clear"/>
            <w:vAlign w:val="center"/>
          </w:tcPr>
          <w:p>
            <w:pPr>
              <w:pStyle w:val="Zawartotabeli"/>
              <w:jc w:val="center"/>
              <w:rPr>
                <w:rFonts w:ascii="Calibri" w:hAnsi="Calibri"/>
              </w:rPr>
            </w:pPr>
            <w:r>
              <w:rPr>
                <w:rFonts w:ascii="Calibri" w:hAnsi="Calibri"/>
              </w:rPr>
              <w:t>422,97 zł</w:t>
            </w:r>
          </w:p>
        </w:tc>
      </w:tr>
      <w:tr>
        <w:trPr/>
        <w:tc>
          <w:tcPr>
            <w:tcW w:w="513" w:type="dxa"/>
            <w:vMerge w:val="continue"/>
            <w:tcBorders>
              <w:start w:val="single" w:sz="2" w:space="0" w:color="000000"/>
              <w:bottom w:val="single" w:sz="2" w:space="0" w:color="000000"/>
              <w:end w:val="single" w:sz="2" w:space="0" w:color="000000"/>
            </w:tcBorders>
            <w:shd w:fill="FFBF00" w:val="clear"/>
            <w:vAlign w:val="center"/>
          </w:tcPr>
          <w:p>
            <w:pPr>
              <w:pStyle w:val="Normal"/>
              <w:rPr/>
            </w:pPr>
            <w:r>
              <w:rPr/>
            </w:r>
          </w:p>
        </w:tc>
        <w:tc>
          <w:tcPr>
            <w:tcW w:w="1450" w:type="dxa"/>
            <w:vMerge w:val="continue"/>
            <w:tcBorders>
              <w:start w:val="single" w:sz="2" w:space="0" w:color="000000"/>
              <w:bottom w:val="single" w:sz="2" w:space="0" w:color="000000"/>
            </w:tcBorders>
            <w:shd w:fill="ACB20C" w:val="clear"/>
            <w:vAlign w:val="center"/>
          </w:tcPr>
          <w:p>
            <w:pPr>
              <w:pStyle w:val="Normal"/>
              <w:rPr/>
            </w:pPr>
            <w:r>
              <w:rPr/>
            </w:r>
          </w:p>
        </w:tc>
        <w:tc>
          <w:tcPr>
            <w:tcW w:w="3025" w:type="dxa"/>
            <w:vMerge w:val="continue"/>
            <w:tcBorders>
              <w:start w:val="single" w:sz="2" w:space="0" w:color="000000"/>
              <w:bottom w:val="single" w:sz="2" w:space="0" w:color="000000"/>
            </w:tcBorders>
            <w:shd w:fill="FFDE59" w:val="clear"/>
            <w:vAlign w:val="center"/>
          </w:tcPr>
          <w:p>
            <w:pPr>
              <w:pStyle w:val="Normal"/>
              <w:rPr/>
            </w:pPr>
            <w:r>
              <w:rPr/>
            </w:r>
          </w:p>
        </w:tc>
        <w:tc>
          <w:tcPr>
            <w:tcW w:w="2837" w:type="dxa"/>
            <w:tcBorders>
              <w:start w:val="single" w:sz="2" w:space="0" w:color="000000"/>
              <w:bottom w:val="single" w:sz="2" w:space="0" w:color="000000"/>
            </w:tcBorders>
            <w:shd w:fill="E6E905" w:val="clear"/>
            <w:vAlign w:val="center"/>
          </w:tcPr>
          <w:p>
            <w:pPr>
              <w:pStyle w:val="Zawartotabeli"/>
              <w:jc w:val="center"/>
              <w:rPr>
                <w:rFonts w:ascii="Calibri" w:hAnsi="Calibri"/>
              </w:rPr>
            </w:pPr>
            <w:r>
              <w:rPr>
                <w:rFonts w:ascii="Calibri" w:hAnsi="Calibri"/>
              </w:rPr>
              <w:t>pozostałe wydatki rzeczowe</w:t>
            </w:r>
          </w:p>
        </w:tc>
        <w:tc>
          <w:tcPr>
            <w:tcW w:w="1688" w:type="dxa"/>
            <w:tcBorders>
              <w:start w:val="single" w:sz="2" w:space="0" w:color="000000"/>
              <w:bottom w:val="single" w:sz="2" w:space="0" w:color="000000"/>
              <w:end w:val="single" w:sz="2" w:space="0" w:color="000000"/>
            </w:tcBorders>
            <w:shd w:fill="5EB91E" w:val="clear"/>
            <w:vAlign w:val="center"/>
          </w:tcPr>
          <w:p>
            <w:pPr>
              <w:pStyle w:val="Zawartotabeli"/>
              <w:jc w:val="center"/>
              <w:rPr>
                <w:rFonts w:ascii="Calibri" w:hAnsi="Calibri"/>
              </w:rPr>
            </w:pPr>
            <w:r>
              <w:rPr>
                <w:rFonts w:ascii="Calibri" w:hAnsi="Calibri"/>
              </w:rPr>
              <w:t>12,68 zł</w:t>
            </w:r>
          </w:p>
        </w:tc>
      </w:tr>
      <w:tr>
        <w:trPr/>
        <w:tc>
          <w:tcPr>
            <w:tcW w:w="513" w:type="dxa"/>
            <w:vMerge w:val="restart"/>
            <w:tcBorders>
              <w:start w:val="single" w:sz="2" w:space="0" w:color="000000"/>
              <w:bottom w:val="single" w:sz="2" w:space="0" w:color="000000"/>
              <w:end w:val="single" w:sz="2" w:space="0" w:color="000000"/>
            </w:tcBorders>
            <w:shd w:fill="FFBF00" w:val="clear"/>
            <w:vAlign w:val="center"/>
          </w:tcPr>
          <w:p>
            <w:pPr>
              <w:pStyle w:val="Zawartotabeli"/>
              <w:jc w:val="center"/>
              <w:rPr>
                <w:rFonts w:ascii="Calibri" w:hAnsi="Calibri"/>
                <w:b/>
                <w:bCs/>
              </w:rPr>
            </w:pPr>
            <w:r>
              <w:rPr>
                <w:rFonts w:ascii="Calibri" w:hAnsi="Calibri"/>
                <w:b/>
                <w:bCs/>
              </w:rPr>
              <w:t>2.</w:t>
            </w:r>
          </w:p>
        </w:tc>
        <w:tc>
          <w:tcPr>
            <w:tcW w:w="1450" w:type="dxa"/>
            <w:vMerge w:val="restart"/>
            <w:tcBorders>
              <w:start w:val="single" w:sz="2" w:space="0" w:color="000000"/>
              <w:bottom w:val="single" w:sz="2" w:space="0" w:color="000000"/>
            </w:tcBorders>
            <w:shd w:fill="ACB20C" w:val="clear"/>
            <w:vAlign w:val="center"/>
          </w:tcPr>
          <w:p>
            <w:pPr>
              <w:pStyle w:val="Zawartotabeli"/>
              <w:jc w:val="center"/>
              <w:rPr>
                <w:rFonts w:ascii="Calibri" w:hAnsi="Calibri"/>
                <w:b/>
                <w:bCs/>
              </w:rPr>
            </w:pPr>
            <w:r>
              <w:rPr>
                <w:rFonts w:ascii="Calibri" w:hAnsi="Calibri"/>
                <w:b/>
                <w:bCs/>
              </w:rPr>
              <w:t>85219</w:t>
            </w:r>
          </w:p>
        </w:tc>
        <w:tc>
          <w:tcPr>
            <w:tcW w:w="3025" w:type="dxa"/>
            <w:vMerge w:val="restart"/>
            <w:tcBorders>
              <w:start w:val="single" w:sz="2" w:space="0" w:color="000000"/>
              <w:bottom w:val="single" w:sz="2" w:space="0" w:color="000000"/>
            </w:tcBorders>
            <w:shd w:fill="FFDE59" w:val="clear"/>
            <w:vAlign w:val="center"/>
          </w:tcPr>
          <w:p>
            <w:pPr>
              <w:pStyle w:val="Zawartotabeli"/>
              <w:jc w:val="center"/>
              <w:rPr>
                <w:rFonts w:ascii="Calibri" w:hAnsi="Calibri"/>
                <w:b/>
                <w:bCs/>
              </w:rPr>
            </w:pPr>
            <w:r>
              <w:rPr>
                <w:rFonts w:ascii="Calibri" w:hAnsi="Calibri"/>
                <w:b/>
                <w:bCs/>
              </w:rPr>
              <w:t>Opiekun prawny</w:t>
            </w:r>
          </w:p>
        </w:tc>
        <w:tc>
          <w:tcPr>
            <w:tcW w:w="2837" w:type="dxa"/>
            <w:tcBorders>
              <w:start w:val="single" w:sz="2" w:space="0" w:color="000000"/>
              <w:bottom w:val="single" w:sz="2" w:space="0" w:color="000000"/>
            </w:tcBorders>
            <w:shd w:fill="E6E905" w:val="clear"/>
            <w:vAlign w:val="center"/>
          </w:tcPr>
          <w:p>
            <w:pPr>
              <w:pStyle w:val="Zawartotabeli"/>
              <w:jc w:val="center"/>
              <w:rPr>
                <w:rFonts w:ascii="Calibri" w:hAnsi="Calibri"/>
              </w:rPr>
            </w:pPr>
            <w:r>
              <w:rPr>
                <w:rFonts w:ascii="Calibri" w:hAnsi="Calibri"/>
              </w:rPr>
            </w:r>
          </w:p>
        </w:tc>
        <w:tc>
          <w:tcPr>
            <w:tcW w:w="1688" w:type="dxa"/>
            <w:tcBorders>
              <w:start w:val="single" w:sz="2" w:space="0" w:color="000000"/>
              <w:bottom w:val="single" w:sz="2" w:space="0" w:color="000000"/>
              <w:end w:val="single" w:sz="2" w:space="0" w:color="000000"/>
            </w:tcBorders>
            <w:shd w:fill="5EB91E" w:val="clear"/>
            <w:vAlign w:val="center"/>
          </w:tcPr>
          <w:p>
            <w:pPr>
              <w:pStyle w:val="Zawartotabeli"/>
              <w:jc w:val="center"/>
              <w:rPr>
                <w:rFonts w:ascii="Calibri" w:hAnsi="Calibri"/>
                <w:b/>
                <w:bCs/>
              </w:rPr>
            </w:pPr>
            <w:r>
              <w:rPr>
                <w:rFonts w:ascii="Calibri" w:hAnsi="Calibri"/>
                <w:b/>
                <w:bCs/>
              </w:rPr>
              <w:t>75 527,77 zł</w:t>
            </w:r>
          </w:p>
        </w:tc>
      </w:tr>
      <w:tr>
        <w:trPr/>
        <w:tc>
          <w:tcPr>
            <w:tcW w:w="513" w:type="dxa"/>
            <w:vMerge w:val="continue"/>
            <w:tcBorders>
              <w:start w:val="single" w:sz="2" w:space="0" w:color="000000"/>
              <w:bottom w:val="single" w:sz="2" w:space="0" w:color="000000"/>
              <w:end w:val="single" w:sz="2" w:space="0" w:color="000000"/>
            </w:tcBorders>
            <w:shd w:fill="FFBF00" w:val="clear"/>
            <w:vAlign w:val="center"/>
          </w:tcPr>
          <w:p>
            <w:pPr>
              <w:pStyle w:val="Normal"/>
              <w:rPr/>
            </w:pPr>
            <w:r>
              <w:rPr/>
            </w:r>
          </w:p>
        </w:tc>
        <w:tc>
          <w:tcPr>
            <w:tcW w:w="1450" w:type="dxa"/>
            <w:vMerge w:val="continue"/>
            <w:tcBorders>
              <w:start w:val="single" w:sz="2" w:space="0" w:color="000000"/>
              <w:bottom w:val="single" w:sz="2" w:space="0" w:color="000000"/>
            </w:tcBorders>
            <w:shd w:fill="ACB20C" w:val="clear"/>
            <w:vAlign w:val="center"/>
          </w:tcPr>
          <w:p>
            <w:pPr>
              <w:pStyle w:val="Normal"/>
              <w:rPr/>
            </w:pPr>
            <w:r>
              <w:rPr/>
            </w:r>
          </w:p>
        </w:tc>
        <w:tc>
          <w:tcPr>
            <w:tcW w:w="3025" w:type="dxa"/>
            <w:vMerge w:val="continue"/>
            <w:tcBorders>
              <w:start w:val="single" w:sz="2" w:space="0" w:color="000000"/>
              <w:bottom w:val="single" w:sz="2" w:space="0" w:color="000000"/>
            </w:tcBorders>
            <w:shd w:fill="FFDE59" w:val="clear"/>
            <w:vAlign w:val="center"/>
          </w:tcPr>
          <w:p>
            <w:pPr>
              <w:pStyle w:val="Normal"/>
              <w:rPr/>
            </w:pPr>
            <w:r>
              <w:rPr/>
            </w:r>
          </w:p>
        </w:tc>
        <w:tc>
          <w:tcPr>
            <w:tcW w:w="2837" w:type="dxa"/>
            <w:tcBorders>
              <w:start w:val="single" w:sz="2" w:space="0" w:color="000000"/>
              <w:bottom w:val="single" w:sz="2" w:space="0" w:color="000000"/>
            </w:tcBorders>
            <w:shd w:fill="E6E905" w:val="clear"/>
            <w:vAlign w:val="center"/>
          </w:tcPr>
          <w:p>
            <w:pPr>
              <w:pStyle w:val="Zawartotabeli"/>
              <w:jc w:val="center"/>
              <w:rPr>
                <w:rFonts w:ascii="Calibri" w:hAnsi="Calibri"/>
              </w:rPr>
            </w:pPr>
            <w:r>
              <w:rPr>
                <w:rFonts w:ascii="Calibri" w:hAnsi="Calibri"/>
              </w:rPr>
              <w:t>świadczenia społeczne</w:t>
            </w:r>
          </w:p>
        </w:tc>
        <w:tc>
          <w:tcPr>
            <w:tcW w:w="1688" w:type="dxa"/>
            <w:tcBorders>
              <w:start w:val="single" w:sz="2" w:space="0" w:color="000000"/>
              <w:bottom w:val="single" w:sz="2" w:space="0" w:color="000000"/>
              <w:end w:val="single" w:sz="2" w:space="0" w:color="000000"/>
            </w:tcBorders>
            <w:shd w:fill="5EB91E" w:val="clear"/>
            <w:vAlign w:val="center"/>
          </w:tcPr>
          <w:p>
            <w:pPr>
              <w:pStyle w:val="Zawartotabeli"/>
              <w:jc w:val="center"/>
              <w:rPr>
                <w:rFonts w:ascii="Calibri" w:hAnsi="Calibri"/>
              </w:rPr>
            </w:pPr>
            <w:r>
              <w:rPr>
                <w:rFonts w:ascii="Calibri" w:hAnsi="Calibri"/>
              </w:rPr>
              <w:t>74 411,77 zł</w:t>
            </w:r>
          </w:p>
        </w:tc>
      </w:tr>
      <w:tr>
        <w:trPr/>
        <w:tc>
          <w:tcPr>
            <w:tcW w:w="513" w:type="dxa"/>
            <w:vMerge w:val="continue"/>
            <w:tcBorders>
              <w:start w:val="single" w:sz="2" w:space="0" w:color="000000"/>
              <w:bottom w:val="single" w:sz="2" w:space="0" w:color="000000"/>
              <w:end w:val="single" w:sz="2" w:space="0" w:color="000000"/>
            </w:tcBorders>
            <w:shd w:fill="FFBF00" w:val="clear"/>
            <w:vAlign w:val="center"/>
          </w:tcPr>
          <w:p>
            <w:pPr>
              <w:pStyle w:val="Normal"/>
              <w:rPr/>
            </w:pPr>
            <w:r>
              <w:rPr/>
            </w:r>
          </w:p>
        </w:tc>
        <w:tc>
          <w:tcPr>
            <w:tcW w:w="1450" w:type="dxa"/>
            <w:vMerge w:val="continue"/>
            <w:tcBorders>
              <w:start w:val="single" w:sz="2" w:space="0" w:color="000000"/>
              <w:bottom w:val="single" w:sz="2" w:space="0" w:color="000000"/>
            </w:tcBorders>
            <w:shd w:fill="ACB20C" w:val="clear"/>
            <w:vAlign w:val="center"/>
          </w:tcPr>
          <w:p>
            <w:pPr>
              <w:pStyle w:val="Normal"/>
              <w:rPr/>
            </w:pPr>
            <w:r>
              <w:rPr/>
            </w:r>
          </w:p>
        </w:tc>
        <w:tc>
          <w:tcPr>
            <w:tcW w:w="3025" w:type="dxa"/>
            <w:vMerge w:val="continue"/>
            <w:tcBorders>
              <w:start w:val="single" w:sz="2" w:space="0" w:color="000000"/>
              <w:bottom w:val="single" w:sz="2" w:space="0" w:color="000000"/>
            </w:tcBorders>
            <w:shd w:fill="FFDE59" w:val="clear"/>
            <w:vAlign w:val="center"/>
          </w:tcPr>
          <w:p>
            <w:pPr>
              <w:pStyle w:val="Normal"/>
              <w:rPr/>
            </w:pPr>
            <w:r>
              <w:rPr/>
            </w:r>
          </w:p>
        </w:tc>
        <w:tc>
          <w:tcPr>
            <w:tcW w:w="2837" w:type="dxa"/>
            <w:tcBorders>
              <w:start w:val="single" w:sz="2" w:space="0" w:color="000000"/>
              <w:bottom w:val="single" w:sz="2" w:space="0" w:color="000000"/>
            </w:tcBorders>
            <w:shd w:fill="E6E905" w:val="clear"/>
            <w:vAlign w:val="center"/>
          </w:tcPr>
          <w:p>
            <w:pPr>
              <w:pStyle w:val="Zawartotabeli"/>
              <w:jc w:val="center"/>
              <w:rPr>
                <w:rFonts w:ascii="Calibri" w:hAnsi="Calibri"/>
              </w:rPr>
            </w:pPr>
            <w:r>
              <w:rPr>
                <w:rFonts w:ascii="Calibri" w:hAnsi="Calibri"/>
              </w:rPr>
              <w:t>koszty obsługi</w:t>
            </w:r>
          </w:p>
        </w:tc>
        <w:tc>
          <w:tcPr>
            <w:tcW w:w="1688" w:type="dxa"/>
            <w:tcBorders>
              <w:start w:val="single" w:sz="2" w:space="0" w:color="000000"/>
              <w:bottom w:val="single" w:sz="2" w:space="0" w:color="000000"/>
              <w:end w:val="single" w:sz="2" w:space="0" w:color="000000"/>
            </w:tcBorders>
            <w:shd w:fill="5EB91E" w:val="clear"/>
            <w:vAlign w:val="center"/>
          </w:tcPr>
          <w:p>
            <w:pPr>
              <w:pStyle w:val="Zawartotabeli"/>
              <w:jc w:val="center"/>
              <w:rPr>
                <w:rFonts w:ascii="Calibri" w:hAnsi="Calibri"/>
              </w:rPr>
            </w:pPr>
            <w:r>
              <w:rPr>
                <w:rFonts w:ascii="Calibri" w:hAnsi="Calibri"/>
              </w:rPr>
              <w:t>1 116,00 zł</w:t>
            </w:r>
          </w:p>
        </w:tc>
      </w:tr>
      <w:tr>
        <w:trPr/>
        <w:tc>
          <w:tcPr>
            <w:tcW w:w="513" w:type="dxa"/>
            <w:tcBorders>
              <w:start w:val="single" w:sz="2" w:space="0" w:color="000000"/>
              <w:bottom w:val="single" w:sz="2" w:space="0" w:color="000000"/>
              <w:end w:val="single" w:sz="2" w:space="0" w:color="000000"/>
            </w:tcBorders>
            <w:shd w:fill="FFBF00" w:val="clear"/>
            <w:vAlign w:val="center"/>
          </w:tcPr>
          <w:p>
            <w:pPr>
              <w:pStyle w:val="Zawartotabeli"/>
              <w:jc w:val="center"/>
              <w:rPr>
                <w:rFonts w:ascii="Calibri" w:hAnsi="Calibri"/>
                <w:b/>
                <w:bCs/>
              </w:rPr>
            </w:pPr>
            <w:r>
              <w:rPr>
                <w:rFonts w:ascii="Calibri" w:hAnsi="Calibri"/>
                <w:b/>
                <w:bCs/>
              </w:rPr>
              <w:t>3.</w:t>
            </w:r>
          </w:p>
        </w:tc>
        <w:tc>
          <w:tcPr>
            <w:tcW w:w="1450" w:type="dxa"/>
            <w:tcBorders>
              <w:start w:val="single" w:sz="2" w:space="0" w:color="000000"/>
              <w:bottom w:val="single" w:sz="2" w:space="0" w:color="000000"/>
            </w:tcBorders>
            <w:shd w:fill="ACB20C" w:val="clear"/>
            <w:vAlign w:val="center"/>
          </w:tcPr>
          <w:p>
            <w:pPr>
              <w:pStyle w:val="Zawartotabeli"/>
              <w:jc w:val="center"/>
              <w:rPr>
                <w:rFonts w:ascii="Calibri" w:hAnsi="Calibri"/>
                <w:b/>
                <w:bCs/>
              </w:rPr>
            </w:pPr>
            <w:r>
              <w:rPr>
                <w:rFonts w:ascii="Calibri" w:hAnsi="Calibri"/>
                <w:b/>
                <w:bCs/>
              </w:rPr>
              <w:t>85228</w:t>
            </w:r>
          </w:p>
        </w:tc>
        <w:tc>
          <w:tcPr>
            <w:tcW w:w="3025" w:type="dxa"/>
            <w:tcBorders>
              <w:start w:val="single" w:sz="2" w:space="0" w:color="000000"/>
              <w:bottom w:val="single" w:sz="2" w:space="0" w:color="000000"/>
            </w:tcBorders>
            <w:shd w:fill="FFDE59" w:val="clear"/>
            <w:vAlign w:val="center"/>
          </w:tcPr>
          <w:p>
            <w:pPr>
              <w:pStyle w:val="Zawartotabeli"/>
              <w:jc w:val="center"/>
              <w:rPr>
                <w:rFonts w:ascii="Calibri" w:hAnsi="Calibri"/>
                <w:b/>
                <w:bCs/>
              </w:rPr>
            </w:pPr>
            <w:r>
              <w:rPr>
                <w:rFonts w:ascii="Calibri" w:hAnsi="Calibri"/>
                <w:b/>
                <w:bCs/>
              </w:rPr>
              <w:t>Specjalistyczne usługi opiekuńcze</w:t>
            </w:r>
          </w:p>
        </w:tc>
        <w:tc>
          <w:tcPr>
            <w:tcW w:w="2837" w:type="dxa"/>
            <w:tcBorders>
              <w:start w:val="single" w:sz="2" w:space="0" w:color="000000"/>
              <w:bottom w:val="single" w:sz="2" w:space="0" w:color="000000"/>
            </w:tcBorders>
            <w:shd w:fill="E6E905" w:val="clear"/>
            <w:vAlign w:val="center"/>
          </w:tcPr>
          <w:p>
            <w:pPr>
              <w:pStyle w:val="Zawartotabeli"/>
              <w:jc w:val="center"/>
              <w:rPr>
                <w:rFonts w:ascii="Calibri" w:hAnsi="Calibri"/>
              </w:rPr>
            </w:pPr>
            <w:r>
              <w:rPr>
                <w:rFonts w:ascii="Calibri" w:hAnsi="Calibri"/>
              </w:rPr>
            </w:r>
          </w:p>
        </w:tc>
        <w:tc>
          <w:tcPr>
            <w:tcW w:w="1688" w:type="dxa"/>
            <w:tcBorders>
              <w:start w:val="single" w:sz="2" w:space="0" w:color="000000"/>
              <w:bottom w:val="single" w:sz="2" w:space="0" w:color="000000"/>
              <w:end w:val="single" w:sz="2" w:space="0" w:color="000000"/>
            </w:tcBorders>
            <w:shd w:fill="5EB91E" w:val="clear"/>
            <w:vAlign w:val="center"/>
          </w:tcPr>
          <w:p>
            <w:pPr>
              <w:pStyle w:val="Zawartotabeli"/>
              <w:jc w:val="center"/>
              <w:rPr>
                <w:rFonts w:ascii="Calibri" w:hAnsi="Calibri"/>
                <w:b/>
                <w:bCs/>
              </w:rPr>
            </w:pPr>
            <w:r>
              <w:rPr>
                <w:rFonts w:ascii="Calibri" w:hAnsi="Calibri"/>
                <w:b/>
                <w:bCs/>
              </w:rPr>
              <w:t>222 430,00 zł</w:t>
            </w:r>
          </w:p>
        </w:tc>
      </w:tr>
      <w:tr>
        <w:trPr/>
        <w:tc>
          <w:tcPr>
            <w:tcW w:w="513" w:type="dxa"/>
            <w:tcBorders>
              <w:start w:val="single" w:sz="2" w:space="0" w:color="000000"/>
              <w:bottom w:val="single" w:sz="2" w:space="0" w:color="000000"/>
              <w:end w:val="single" w:sz="2" w:space="0" w:color="000000"/>
            </w:tcBorders>
            <w:shd w:fill="FFBF00" w:val="clear"/>
            <w:vAlign w:val="center"/>
          </w:tcPr>
          <w:p>
            <w:pPr>
              <w:pStyle w:val="Normal"/>
              <w:jc w:val="center"/>
              <w:rPr>
                <w:rFonts w:ascii="Calibri" w:hAnsi="Calibri"/>
                <w:b/>
                <w:bCs/>
              </w:rPr>
            </w:pPr>
            <w:r>
              <w:rPr>
                <w:rFonts w:ascii="Calibri" w:hAnsi="Calibri"/>
                <w:b/>
                <w:bCs/>
              </w:rPr>
              <w:t>4.</w:t>
            </w:r>
          </w:p>
        </w:tc>
        <w:tc>
          <w:tcPr>
            <w:tcW w:w="1450" w:type="dxa"/>
            <w:tcBorders>
              <w:start w:val="single" w:sz="2" w:space="0" w:color="000000"/>
              <w:bottom w:val="single" w:sz="2" w:space="0" w:color="000000"/>
            </w:tcBorders>
            <w:shd w:fill="ACB20C" w:val="clear"/>
            <w:vAlign w:val="center"/>
          </w:tcPr>
          <w:p>
            <w:pPr>
              <w:pStyle w:val="Normal"/>
              <w:jc w:val="center"/>
              <w:rPr>
                <w:rFonts w:ascii="Calibri" w:hAnsi="Calibri"/>
                <w:b/>
                <w:bCs/>
              </w:rPr>
            </w:pPr>
            <w:r>
              <w:rPr>
                <w:rFonts w:ascii="Calibri" w:hAnsi="Calibri"/>
                <w:b/>
                <w:bCs/>
              </w:rPr>
              <w:t>85295</w:t>
            </w:r>
          </w:p>
        </w:tc>
        <w:tc>
          <w:tcPr>
            <w:tcW w:w="3025" w:type="dxa"/>
            <w:tcBorders>
              <w:start w:val="single" w:sz="2" w:space="0" w:color="000000"/>
              <w:bottom w:val="single" w:sz="2" w:space="0" w:color="000000"/>
            </w:tcBorders>
            <w:shd w:fill="FFDE59" w:val="clear"/>
            <w:vAlign w:val="center"/>
          </w:tcPr>
          <w:p>
            <w:pPr>
              <w:pStyle w:val="Normal"/>
              <w:jc w:val="center"/>
              <w:rPr/>
            </w:pPr>
            <w:r>
              <w:rPr>
                <w:rStyle w:val="Domylnaczcionkaakapitu"/>
                <w:rFonts w:ascii="Calibri" w:hAnsi="Calibri"/>
                <w:b/>
                <w:bCs/>
              </w:rPr>
              <w:t xml:space="preserve">Pozostała działalność -  </w:t>
            </w:r>
            <w:r>
              <w:rPr>
                <w:rStyle w:val="Domylnaczcionkaakapitu"/>
                <w:rFonts w:eastAsia="Times New Roman" w:ascii="Calibri" w:hAnsi="Calibri"/>
                <w:b/>
                <w:bCs/>
                <w:sz w:val="21"/>
                <w:szCs w:val="21"/>
              </w:rPr>
              <w:t>program do obsługi obszaru pomocy społecznej SI POMOST</w:t>
            </w:r>
          </w:p>
        </w:tc>
        <w:tc>
          <w:tcPr>
            <w:tcW w:w="2837" w:type="dxa"/>
            <w:tcBorders>
              <w:start w:val="single" w:sz="2" w:space="0" w:color="000000"/>
              <w:bottom w:val="single" w:sz="2" w:space="0" w:color="000000"/>
            </w:tcBorders>
            <w:shd w:fill="E6E905" w:val="clear"/>
            <w:vAlign w:val="center"/>
          </w:tcPr>
          <w:p>
            <w:pPr>
              <w:pStyle w:val="Zawartotabeli"/>
              <w:jc w:val="center"/>
              <w:rPr>
                <w:rFonts w:ascii="Calibri" w:hAnsi="Calibri"/>
              </w:rPr>
            </w:pPr>
            <w:r>
              <w:rPr>
                <w:rFonts w:ascii="Calibri" w:hAnsi="Calibri"/>
              </w:rPr>
            </w:r>
          </w:p>
        </w:tc>
        <w:tc>
          <w:tcPr>
            <w:tcW w:w="1688" w:type="dxa"/>
            <w:tcBorders>
              <w:start w:val="single" w:sz="2" w:space="0" w:color="000000"/>
              <w:bottom w:val="single" w:sz="2" w:space="0" w:color="000000"/>
              <w:end w:val="single" w:sz="2" w:space="0" w:color="000000"/>
            </w:tcBorders>
            <w:shd w:fill="5EB91E" w:val="clear"/>
            <w:vAlign w:val="center"/>
          </w:tcPr>
          <w:p>
            <w:pPr>
              <w:pStyle w:val="Zawartotabeli"/>
              <w:jc w:val="center"/>
              <w:rPr>
                <w:rFonts w:ascii="Calibri" w:hAnsi="Calibri"/>
                <w:b/>
                <w:bCs/>
              </w:rPr>
            </w:pPr>
            <w:r>
              <w:rPr>
                <w:rFonts w:ascii="Calibri" w:hAnsi="Calibri"/>
                <w:b/>
                <w:bCs/>
              </w:rPr>
              <w:t>10 332,00 zł</w:t>
            </w:r>
          </w:p>
        </w:tc>
      </w:tr>
      <w:tr>
        <w:trPr/>
        <w:tc>
          <w:tcPr>
            <w:tcW w:w="513" w:type="dxa"/>
            <w:vMerge w:val="restart"/>
            <w:tcBorders>
              <w:start w:val="single" w:sz="2" w:space="0" w:color="000000"/>
              <w:bottom w:val="single" w:sz="2" w:space="0" w:color="000000"/>
              <w:end w:val="single" w:sz="2" w:space="0" w:color="000000"/>
            </w:tcBorders>
            <w:shd w:fill="FFBF00" w:val="clear"/>
            <w:vAlign w:val="center"/>
          </w:tcPr>
          <w:p>
            <w:pPr>
              <w:pStyle w:val="Zawartotabeli"/>
              <w:jc w:val="center"/>
              <w:rPr>
                <w:rFonts w:ascii="Calibri" w:hAnsi="Calibri"/>
                <w:b/>
                <w:bCs/>
              </w:rPr>
            </w:pPr>
            <w:r>
              <w:rPr>
                <w:rFonts w:ascii="Calibri" w:hAnsi="Calibri"/>
                <w:b/>
                <w:bCs/>
              </w:rPr>
              <w:t>5.</w:t>
            </w:r>
          </w:p>
        </w:tc>
        <w:tc>
          <w:tcPr>
            <w:tcW w:w="1450" w:type="dxa"/>
            <w:vMerge w:val="restart"/>
            <w:tcBorders>
              <w:start w:val="single" w:sz="2" w:space="0" w:color="000000"/>
              <w:bottom w:val="single" w:sz="2" w:space="0" w:color="000000"/>
            </w:tcBorders>
            <w:shd w:fill="ACB20C" w:val="clear"/>
            <w:vAlign w:val="center"/>
          </w:tcPr>
          <w:p>
            <w:pPr>
              <w:pStyle w:val="Zawartotabeli"/>
              <w:jc w:val="center"/>
              <w:rPr>
                <w:rFonts w:ascii="Calibri" w:hAnsi="Calibri"/>
                <w:b/>
                <w:bCs/>
              </w:rPr>
            </w:pPr>
            <w:r>
              <w:rPr>
                <w:rFonts w:ascii="Calibri" w:hAnsi="Calibri"/>
                <w:b/>
                <w:bCs/>
              </w:rPr>
              <w:t>85502</w:t>
            </w:r>
          </w:p>
        </w:tc>
        <w:tc>
          <w:tcPr>
            <w:tcW w:w="3025" w:type="dxa"/>
            <w:vMerge w:val="restart"/>
            <w:tcBorders>
              <w:start w:val="single" w:sz="2" w:space="0" w:color="000000"/>
              <w:bottom w:val="single" w:sz="2" w:space="0" w:color="000000"/>
            </w:tcBorders>
            <w:shd w:fill="FFDE59" w:val="clear"/>
            <w:vAlign w:val="center"/>
          </w:tcPr>
          <w:p>
            <w:pPr>
              <w:pStyle w:val="Zawartotabeli"/>
              <w:jc w:val="center"/>
              <w:rPr>
                <w:rFonts w:ascii="Calibri" w:hAnsi="Calibri"/>
                <w:b/>
                <w:bCs/>
              </w:rPr>
            </w:pPr>
            <w:r>
              <w:rPr>
                <w:rFonts w:ascii="Calibri" w:hAnsi="Calibri"/>
                <w:b/>
                <w:bCs/>
              </w:rPr>
              <w:t>Świadczenie wychowawcze „Rodzina 500+”</w:t>
            </w:r>
          </w:p>
        </w:tc>
        <w:tc>
          <w:tcPr>
            <w:tcW w:w="2837" w:type="dxa"/>
            <w:tcBorders>
              <w:start w:val="single" w:sz="2" w:space="0" w:color="000000"/>
              <w:bottom w:val="single" w:sz="2" w:space="0" w:color="000000"/>
            </w:tcBorders>
            <w:shd w:fill="E6E905" w:val="clear"/>
            <w:vAlign w:val="center"/>
          </w:tcPr>
          <w:p>
            <w:pPr>
              <w:pStyle w:val="Zawartotabeli"/>
              <w:jc w:val="center"/>
              <w:rPr>
                <w:rFonts w:ascii="Calibri" w:hAnsi="Calibri"/>
              </w:rPr>
            </w:pPr>
            <w:r>
              <w:rPr>
                <w:rFonts w:ascii="Calibri" w:hAnsi="Calibri"/>
              </w:rPr>
            </w:r>
          </w:p>
        </w:tc>
        <w:tc>
          <w:tcPr>
            <w:tcW w:w="1688" w:type="dxa"/>
            <w:tcBorders>
              <w:start w:val="single" w:sz="2" w:space="0" w:color="000000"/>
              <w:bottom w:val="single" w:sz="2" w:space="0" w:color="000000"/>
              <w:end w:val="single" w:sz="2" w:space="0" w:color="000000"/>
            </w:tcBorders>
            <w:shd w:fill="5EB91E" w:val="clear"/>
            <w:vAlign w:val="center"/>
          </w:tcPr>
          <w:p>
            <w:pPr>
              <w:pStyle w:val="Zawartotabeli"/>
              <w:jc w:val="center"/>
              <w:rPr>
                <w:rFonts w:ascii="Calibri" w:hAnsi="Calibri"/>
                <w:b/>
                <w:bCs/>
              </w:rPr>
            </w:pPr>
            <w:r>
              <w:rPr>
                <w:rFonts w:ascii="Calibri" w:hAnsi="Calibri"/>
                <w:b/>
                <w:bCs/>
              </w:rPr>
              <w:t>19 599,80 zł</w:t>
            </w:r>
          </w:p>
        </w:tc>
      </w:tr>
      <w:tr>
        <w:trPr/>
        <w:tc>
          <w:tcPr>
            <w:tcW w:w="513" w:type="dxa"/>
            <w:vMerge w:val="continue"/>
            <w:tcBorders>
              <w:start w:val="single" w:sz="2" w:space="0" w:color="000000"/>
              <w:bottom w:val="single" w:sz="2" w:space="0" w:color="000000"/>
              <w:end w:val="single" w:sz="2" w:space="0" w:color="000000"/>
            </w:tcBorders>
            <w:shd w:fill="FFBF00" w:val="clear"/>
            <w:vAlign w:val="center"/>
          </w:tcPr>
          <w:p>
            <w:pPr>
              <w:pStyle w:val="Normal"/>
              <w:rPr/>
            </w:pPr>
            <w:r>
              <w:rPr/>
            </w:r>
          </w:p>
        </w:tc>
        <w:tc>
          <w:tcPr>
            <w:tcW w:w="1450" w:type="dxa"/>
            <w:vMerge w:val="continue"/>
            <w:tcBorders>
              <w:start w:val="single" w:sz="2" w:space="0" w:color="000000"/>
              <w:bottom w:val="single" w:sz="2" w:space="0" w:color="000000"/>
            </w:tcBorders>
            <w:shd w:fill="ACB20C" w:val="clear"/>
            <w:vAlign w:val="center"/>
          </w:tcPr>
          <w:p>
            <w:pPr>
              <w:pStyle w:val="Normal"/>
              <w:rPr/>
            </w:pPr>
            <w:r>
              <w:rPr/>
            </w:r>
          </w:p>
        </w:tc>
        <w:tc>
          <w:tcPr>
            <w:tcW w:w="3025" w:type="dxa"/>
            <w:vMerge w:val="continue"/>
            <w:tcBorders>
              <w:start w:val="single" w:sz="2" w:space="0" w:color="000000"/>
              <w:bottom w:val="single" w:sz="2" w:space="0" w:color="000000"/>
            </w:tcBorders>
            <w:shd w:fill="FFDE59" w:val="clear"/>
            <w:vAlign w:val="center"/>
          </w:tcPr>
          <w:p>
            <w:pPr>
              <w:pStyle w:val="Normal"/>
              <w:rPr/>
            </w:pPr>
            <w:r>
              <w:rPr/>
            </w:r>
          </w:p>
        </w:tc>
        <w:tc>
          <w:tcPr>
            <w:tcW w:w="2837" w:type="dxa"/>
            <w:tcBorders>
              <w:start w:val="single" w:sz="2" w:space="0" w:color="000000"/>
              <w:bottom w:val="single" w:sz="2" w:space="0" w:color="000000"/>
            </w:tcBorders>
            <w:shd w:fill="E6E905" w:val="clear"/>
            <w:vAlign w:val="center"/>
          </w:tcPr>
          <w:p>
            <w:pPr>
              <w:pStyle w:val="Zawartotabeli"/>
              <w:jc w:val="center"/>
              <w:rPr>
                <w:rFonts w:ascii="Calibri" w:hAnsi="Calibri"/>
              </w:rPr>
            </w:pPr>
            <w:r>
              <w:rPr>
                <w:rFonts w:ascii="Calibri" w:hAnsi="Calibri"/>
              </w:rPr>
              <w:t>świadczenie 500+</w:t>
            </w:r>
          </w:p>
        </w:tc>
        <w:tc>
          <w:tcPr>
            <w:tcW w:w="1688" w:type="dxa"/>
            <w:tcBorders>
              <w:start w:val="single" w:sz="2" w:space="0" w:color="000000"/>
              <w:bottom w:val="single" w:sz="2" w:space="0" w:color="000000"/>
              <w:end w:val="single" w:sz="2" w:space="0" w:color="000000"/>
            </w:tcBorders>
            <w:shd w:fill="5EB91E" w:val="clear"/>
            <w:vAlign w:val="center"/>
          </w:tcPr>
          <w:p>
            <w:pPr>
              <w:pStyle w:val="Zawartotabeli"/>
              <w:jc w:val="center"/>
              <w:rPr>
                <w:rFonts w:ascii="Calibri" w:hAnsi="Calibri"/>
              </w:rPr>
            </w:pPr>
            <w:r>
              <w:rPr>
                <w:rFonts w:ascii="Calibri" w:hAnsi="Calibri"/>
              </w:rPr>
              <w:t>17 599,80 zł</w:t>
            </w:r>
          </w:p>
        </w:tc>
      </w:tr>
      <w:tr>
        <w:trPr/>
        <w:tc>
          <w:tcPr>
            <w:tcW w:w="513" w:type="dxa"/>
            <w:vMerge w:val="continue"/>
            <w:tcBorders>
              <w:start w:val="single" w:sz="2" w:space="0" w:color="000000"/>
              <w:bottom w:val="single" w:sz="2" w:space="0" w:color="000000"/>
              <w:end w:val="single" w:sz="2" w:space="0" w:color="000000"/>
            </w:tcBorders>
            <w:shd w:fill="FFBF00" w:val="clear"/>
            <w:vAlign w:val="center"/>
          </w:tcPr>
          <w:p>
            <w:pPr>
              <w:pStyle w:val="Normal"/>
              <w:rPr/>
            </w:pPr>
            <w:r>
              <w:rPr/>
            </w:r>
          </w:p>
        </w:tc>
        <w:tc>
          <w:tcPr>
            <w:tcW w:w="1450" w:type="dxa"/>
            <w:vMerge w:val="continue"/>
            <w:tcBorders>
              <w:start w:val="single" w:sz="2" w:space="0" w:color="000000"/>
              <w:bottom w:val="single" w:sz="2" w:space="0" w:color="000000"/>
            </w:tcBorders>
            <w:shd w:fill="ACB20C" w:val="clear"/>
            <w:vAlign w:val="center"/>
          </w:tcPr>
          <w:p>
            <w:pPr>
              <w:pStyle w:val="Normal"/>
              <w:rPr/>
            </w:pPr>
            <w:r>
              <w:rPr/>
            </w:r>
          </w:p>
        </w:tc>
        <w:tc>
          <w:tcPr>
            <w:tcW w:w="3025" w:type="dxa"/>
            <w:vMerge w:val="continue"/>
            <w:tcBorders>
              <w:start w:val="single" w:sz="2" w:space="0" w:color="000000"/>
              <w:bottom w:val="single" w:sz="2" w:space="0" w:color="000000"/>
            </w:tcBorders>
            <w:shd w:fill="FFDE59" w:val="clear"/>
            <w:vAlign w:val="center"/>
          </w:tcPr>
          <w:p>
            <w:pPr>
              <w:pStyle w:val="Normal"/>
              <w:rPr/>
            </w:pPr>
            <w:r>
              <w:rPr/>
            </w:r>
          </w:p>
        </w:tc>
        <w:tc>
          <w:tcPr>
            <w:tcW w:w="2837" w:type="dxa"/>
            <w:tcBorders>
              <w:start w:val="single" w:sz="2" w:space="0" w:color="000000"/>
              <w:bottom w:val="single" w:sz="2" w:space="0" w:color="000000"/>
            </w:tcBorders>
            <w:shd w:fill="E6E905" w:val="clear"/>
            <w:vAlign w:val="center"/>
          </w:tcPr>
          <w:p>
            <w:pPr>
              <w:pStyle w:val="Zawartotabeli"/>
              <w:jc w:val="center"/>
              <w:rPr>
                <w:rFonts w:ascii="Calibri" w:hAnsi="Calibri"/>
              </w:rPr>
            </w:pPr>
            <w:r>
              <w:rPr>
                <w:rFonts w:ascii="Calibri" w:hAnsi="Calibri"/>
              </w:rPr>
              <w:t>koszty obsługi</w:t>
            </w:r>
          </w:p>
        </w:tc>
        <w:tc>
          <w:tcPr>
            <w:tcW w:w="1688" w:type="dxa"/>
            <w:tcBorders>
              <w:start w:val="single" w:sz="2" w:space="0" w:color="000000"/>
              <w:bottom w:val="single" w:sz="2" w:space="0" w:color="000000"/>
              <w:end w:val="single" w:sz="2" w:space="0" w:color="000000"/>
            </w:tcBorders>
            <w:shd w:fill="5EB91E" w:val="clear"/>
            <w:vAlign w:val="center"/>
          </w:tcPr>
          <w:p>
            <w:pPr>
              <w:pStyle w:val="Zawartotabeli"/>
              <w:jc w:val="center"/>
              <w:rPr>
                <w:rFonts w:ascii="Calibri" w:hAnsi="Calibri"/>
              </w:rPr>
            </w:pPr>
            <w:r>
              <w:rPr>
                <w:rFonts w:ascii="Calibri" w:hAnsi="Calibri"/>
              </w:rPr>
              <w:t>2 000,00 zł</w:t>
            </w:r>
          </w:p>
        </w:tc>
      </w:tr>
      <w:tr>
        <w:trPr/>
        <w:tc>
          <w:tcPr>
            <w:tcW w:w="513" w:type="dxa"/>
            <w:vMerge w:val="restart"/>
            <w:tcBorders>
              <w:start w:val="single" w:sz="2" w:space="0" w:color="000000"/>
              <w:bottom w:val="single" w:sz="2" w:space="0" w:color="000000"/>
              <w:end w:val="single" w:sz="2" w:space="0" w:color="000000"/>
            </w:tcBorders>
            <w:shd w:fill="FFBF00" w:val="clear"/>
            <w:vAlign w:val="center"/>
          </w:tcPr>
          <w:p>
            <w:pPr>
              <w:pStyle w:val="Zawartotabeli"/>
              <w:jc w:val="center"/>
              <w:rPr>
                <w:rFonts w:ascii="Calibri" w:hAnsi="Calibri"/>
                <w:b/>
                <w:bCs/>
              </w:rPr>
            </w:pPr>
            <w:r>
              <w:rPr>
                <w:rFonts w:ascii="Calibri" w:hAnsi="Calibri"/>
                <w:b/>
                <w:bCs/>
              </w:rPr>
              <w:t>6.</w:t>
            </w:r>
          </w:p>
        </w:tc>
        <w:tc>
          <w:tcPr>
            <w:tcW w:w="1450" w:type="dxa"/>
            <w:vMerge w:val="restart"/>
            <w:tcBorders>
              <w:start w:val="single" w:sz="2" w:space="0" w:color="000000"/>
              <w:bottom w:val="single" w:sz="2" w:space="0" w:color="000000"/>
            </w:tcBorders>
            <w:shd w:fill="ACB20C" w:val="clear"/>
            <w:vAlign w:val="center"/>
          </w:tcPr>
          <w:p>
            <w:pPr>
              <w:pStyle w:val="Zawartotabeli"/>
              <w:jc w:val="center"/>
              <w:rPr>
                <w:rFonts w:ascii="Calibri" w:hAnsi="Calibri"/>
                <w:b/>
                <w:bCs/>
              </w:rPr>
            </w:pPr>
            <w:r>
              <w:rPr>
                <w:rFonts w:ascii="Calibri" w:hAnsi="Calibri"/>
                <w:b/>
                <w:bCs/>
              </w:rPr>
              <w:t>85502</w:t>
            </w:r>
          </w:p>
        </w:tc>
        <w:tc>
          <w:tcPr>
            <w:tcW w:w="3025" w:type="dxa"/>
            <w:vMerge w:val="restart"/>
            <w:tcBorders>
              <w:start w:val="single" w:sz="2" w:space="0" w:color="000000"/>
              <w:bottom w:val="single" w:sz="2" w:space="0" w:color="000000"/>
            </w:tcBorders>
            <w:shd w:fill="FFDE59" w:val="clear"/>
            <w:vAlign w:val="center"/>
          </w:tcPr>
          <w:p>
            <w:pPr>
              <w:pStyle w:val="Zawartotabeli"/>
              <w:jc w:val="center"/>
              <w:rPr>
                <w:rFonts w:ascii="Calibri" w:hAnsi="Calibri"/>
                <w:b/>
                <w:bCs/>
              </w:rPr>
            </w:pPr>
            <w:r>
              <w:rPr>
                <w:rFonts w:ascii="Calibri" w:hAnsi="Calibri"/>
                <w:b/>
                <w:bCs/>
              </w:rPr>
              <w:t>Świadczenia rodzinne, świadczenia z funduszu alimentacyjnego, składki na ubezpieczenie emerytalne i rentowe z ubezpieczenia społecznego</w:t>
            </w:r>
          </w:p>
        </w:tc>
        <w:tc>
          <w:tcPr>
            <w:tcW w:w="2837" w:type="dxa"/>
            <w:tcBorders>
              <w:start w:val="single" w:sz="2" w:space="0" w:color="000000"/>
              <w:bottom w:val="single" w:sz="2" w:space="0" w:color="000000"/>
            </w:tcBorders>
            <w:shd w:fill="E6E905" w:val="clear"/>
            <w:vAlign w:val="center"/>
          </w:tcPr>
          <w:p>
            <w:pPr>
              <w:pStyle w:val="Zawartotabeli"/>
              <w:jc w:val="center"/>
              <w:rPr>
                <w:rFonts w:ascii="Calibri" w:hAnsi="Calibri"/>
              </w:rPr>
            </w:pPr>
            <w:r>
              <w:rPr>
                <w:rFonts w:ascii="Calibri" w:hAnsi="Calibri"/>
              </w:rPr>
            </w:r>
          </w:p>
        </w:tc>
        <w:tc>
          <w:tcPr>
            <w:tcW w:w="1688" w:type="dxa"/>
            <w:tcBorders>
              <w:start w:val="single" w:sz="2" w:space="0" w:color="000000"/>
              <w:bottom w:val="single" w:sz="2" w:space="0" w:color="000000"/>
              <w:end w:val="single" w:sz="2" w:space="0" w:color="000000"/>
            </w:tcBorders>
            <w:shd w:fill="5EB91E" w:val="clear"/>
            <w:vAlign w:val="center"/>
          </w:tcPr>
          <w:p>
            <w:pPr>
              <w:pStyle w:val="Zawartotabeli"/>
              <w:jc w:val="center"/>
              <w:rPr>
                <w:rFonts w:ascii="Calibri" w:hAnsi="Calibri"/>
                <w:b/>
                <w:bCs/>
              </w:rPr>
            </w:pPr>
            <w:r>
              <w:rPr>
                <w:rFonts w:ascii="Calibri" w:hAnsi="Calibri"/>
                <w:b/>
                <w:bCs/>
              </w:rPr>
              <w:t>36 333 700,85 zł</w:t>
            </w:r>
          </w:p>
        </w:tc>
      </w:tr>
      <w:tr>
        <w:trPr/>
        <w:tc>
          <w:tcPr>
            <w:tcW w:w="513" w:type="dxa"/>
            <w:vMerge w:val="continue"/>
            <w:tcBorders>
              <w:start w:val="single" w:sz="2" w:space="0" w:color="000000"/>
              <w:bottom w:val="single" w:sz="2" w:space="0" w:color="000000"/>
              <w:end w:val="single" w:sz="2" w:space="0" w:color="000000"/>
            </w:tcBorders>
            <w:shd w:fill="FFBF00" w:val="clear"/>
            <w:vAlign w:val="center"/>
          </w:tcPr>
          <w:p>
            <w:pPr>
              <w:pStyle w:val="Normal"/>
              <w:rPr/>
            </w:pPr>
            <w:r>
              <w:rPr/>
            </w:r>
          </w:p>
        </w:tc>
        <w:tc>
          <w:tcPr>
            <w:tcW w:w="1450" w:type="dxa"/>
            <w:vMerge w:val="continue"/>
            <w:tcBorders>
              <w:start w:val="single" w:sz="2" w:space="0" w:color="000000"/>
              <w:bottom w:val="single" w:sz="2" w:space="0" w:color="000000"/>
            </w:tcBorders>
            <w:shd w:fill="ACB20C" w:val="clear"/>
            <w:vAlign w:val="center"/>
          </w:tcPr>
          <w:p>
            <w:pPr>
              <w:pStyle w:val="Normal"/>
              <w:rPr/>
            </w:pPr>
            <w:r>
              <w:rPr/>
            </w:r>
          </w:p>
        </w:tc>
        <w:tc>
          <w:tcPr>
            <w:tcW w:w="3025" w:type="dxa"/>
            <w:vMerge w:val="continue"/>
            <w:tcBorders>
              <w:start w:val="single" w:sz="2" w:space="0" w:color="000000"/>
              <w:bottom w:val="single" w:sz="2" w:space="0" w:color="000000"/>
            </w:tcBorders>
            <w:shd w:fill="FFDE59" w:val="clear"/>
            <w:vAlign w:val="center"/>
          </w:tcPr>
          <w:p>
            <w:pPr>
              <w:pStyle w:val="Normal"/>
              <w:rPr/>
            </w:pPr>
            <w:r>
              <w:rPr/>
            </w:r>
          </w:p>
        </w:tc>
        <w:tc>
          <w:tcPr>
            <w:tcW w:w="2837" w:type="dxa"/>
            <w:tcBorders>
              <w:start w:val="single" w:sz="2" w:space="0" w:color="000000"/>
              <w:bottom w:val="single" w:sz="2" w:space="0" w:color="000000"/>
            </w:tcBorders>
            <w:shd w:fill="E6E905" w:val="clear"/>
            <w:vAlign w:val="center"/>
          </w:tcPr>
          <w:p>
            <w:pPr>
              <w:pStyle w:val="Zawartotabeli"/>
              <w:jc w:val="center"/>
              <w:rPr>
                <w:rFonts w:ascii="Calibri" w:hAnsi="Calibri"/>
              </w:rPr>
            </w:pPr>
            <w:r>
              <w:rPr>
                <w:rFonts w:ascii="Calibri" w:hAnsi="Calibri"/>
              </w:rPr>
              <w:t>świadczenia rodzinne</w:t>
            </w:r>
          </w:p>
        </w:tc>
        <w:tc>
          <w:tcPr>
            <w:tcW w:w="1688" w:type="dxa"/>
            <w:tcBorders>
              <w:start w:val="single" w:sz="2" w:space="0" w:color="000000"/>
              <w:bottom w:val="single" w:sz="2" w:space="0" w:color="000000"/>
              <w:end w:val="single" w:sz="2" w:space="0" w:color="000000"/>
            </w:tcBorders>
            <w:shd w:fill="5EB91E" w:val="clear"/>
            <w:vAlign w:val="center"/>
          </w:tcPr>
          <w:p>
            <w:pPr>
              <w:pStyle w:val="Zawartotabeli"/>
              <w:jc w:val="center"/>
              <w:rPr>
                <w:rFonts w:ascii="Calibri" w:hAnsi="Calibri"/>
              </w:rPr>
            </w:pPr>
            <w:r>
              <w:rPr>
                <w:rFonts w:ascii="Calibri" w:hAnsi="Calibri"/>
              </w:rPr>
              <w:t>30 195 792,69 zł</w:t>
            </w:r>
          </w:p>
        </w:tc>
      </w:tr>
      <w:tr>
        <w:trPr/>
        <w:tc>
          <w:tcPr>
            <w:tcW w:w="513" w:type="dxa"/>
            <w:vMerge w:val="continue"/>
            <w:tcBorders>
              <w:start w:val="single" w:sz="2" w:space="0" w:color="000000"/>
              <w:bottom w:val="single" w:sz="2" w:space="0" w:color="000000"/>
              <w:end w:val="single" w:sz="2" w:space="0" w:color="000000"/>
            </w:tcBorders>
            <w:shd w:fill="FFBF00" w:val="clear"/>
            <w:vAlign w:val="center"/>
          </w:tcPr>
          <w:p>
            <w:pPr>
              <w:pStyle w:val="Normal"/>
              <w:rPr/>
            </w:pPr>
            <w:r>
              <w:rPr/>
            </w:r>
          </w:p>
        </w:tc>
        <w:tc>
          <w:tcPr>
            <w:tcW w:w="1450" w:type="dxa"/>
            <w:vMerge w:val="continue"/>
            <w:tcBorders>
              <w:start w:val="single" w:sz="2" w:space="0" w:color="000000"/>
              <w:bottom w:val="single" w:sz="2" w:space="0" w:color="000000"/>
            </w:tcBorders>
            <w:shd w:fill="ACB20C" w:val="clear"/>
            <w:vAlign w:val="center"/>
          </w:tcPr>
          <w:p>
            <w:pPr>
              <w:pStyle w:val="Normal"/>
              <w:rPr/>
            </w:pPr>
            <w:r>
              <w:rPr/>
            </w:r>
          </w:p>
        </w:tc>
        <w:tc>
          <w:tcPr>
            <w:tcW w:w="3025" w:type="dxa"/>
            <w:vMerge w:val="continue"/>
            <w:tcBorders>
              <w:start w:val="single" w:sz="2" w:space="0" w:color="000000"/>
              <w:bottom w:val="single" w:sz="2" w:space="0" w:color="000000"/>
            </w:tcBorders>
            <w:shd w:fill="FFDE59" w:val="clear"/>
            <w:vAlign w:val="center"/>
          </w:tcPr>
          <w:p>
            <w:pPr>
              <w:pStyle w:val="Normal"/>
              <w:rPr/>
            </w:pPr>
            <w:r>
              <w:rPr/>
            </w:r>
          </w:p>
        </w:tc>
        <w:tc>
          <w:tcPr>
            <w:tcW w:w="2837" w:type="dxa"/>
            <w:tcBorders>
              <w:start w:val="single" w:sz="2" w:space="0" w:color="000000"/>
              <w:bottom w:val="single" w:sz="2" w:space="0" w:color="000000"/>
            </w:tcBorders>
            <w:shd w:fill="E6E905" w:val="clear"/>
            <w:vAlign w:val="center"/>
          </w:tcPr>
          <w:p>
            <w:pPr>
              <w:pStyle w:val="Zawartotabeli"/>
              <w:jc w:val="center"/>
              <w:rPr>
                <w:rFonts w:ascii="Calibri" w:hAnsi="Calibri"/>
              </w:rPr>
            </w:pPr>
            <w:r>
              <w:rPr>
                <w:rFonts w:ascii="Calibri" w:hAnsi="Calibri"/>
              </w:rPr>
              <w:t>fundusz alimentacyjny</w:t>
            </w:r>
          </w:p>
        </w:tc>
        <w:tc>
          <w:tcPr>
            <w:tcW w:w="1688" w:type="dxa"/>
            <w:tcBorders>
              <w:start w:val="single" w:sz="2" w:space="0" w:color="000000"/>
              <w:bottom w:val="single" w:sz="2" w:space="0" w:color="000000"/>
              <w:end w:val="single" w:sz="2" w:space="0" w:color="000000"/>
            </w:tcBorders>
            <w:shd w:fill="5EB91E" w:val="clear"/>
            <w:vAlign w:val="center"/>
          </w:tcPr>
          <w:p>
            <w:pPr>
              <w:pStyle w:val="Zawartotabeli"/>
              <w:jc w:val="center"/>
              <w:rPr>
                <w:rFonts w:ascii="Calibri" w:hAnsi="Calibri"/>
              </w:rPr>
            </w:pPr>
            <w:r>
              <w:rPr>
                <w:rFonts w:ascii="Calibri" w:hAnsi="Calibri"/>
              </w:rPr>
              <w:t>2 454 663,62 zł</w:t>
            </w:r>
          </w:p>
        </w:tc>
      </w:tr>
      <w:tr>
        <w:trPr/>
        <w:tc>
          <w:tcPr>
            <w:tcW w:w="513" w:type="dxa"/>
            <w:vMerge w:val="continue"/>
            <w:tcBorders>
              <w:start w:val="single" w:sz="2" w:space="0" w:color="000000"/>
              <w:bottom w:val="single" w:sz="2" w:space="0" w:color="000000"/>
              <w:end w:val="single" w:sz="2" w:space="0" w:color="000000"/>
            </w:tcBorders>
            <w:shd w:fill="FFBF00" w:val="clear"/>
            <w:vAlign w:val="center"/>
          </w:tcPr>
          <w:p>
            <w:pPr>
              <w:pStyle w:val="Normal"/>
              <w:rPr/>
            </w:pPr>
            <w:r>
              <w:rPr/>
            </w:r>
          </w:p>
        </w:tc>
        <w:tc>
          <w:tcPr>
            <w:tcW w:w="1450" w:type="dxa"/>
            <w:vMerge w:val="continue"/>
            <w:tcBorders>
              <w:start w:val="single" w:sz="2" w:space="0" w:color="000000"/>
              <w:bottom w:val="single" w:sz="2" w:space="0" w:color="000000"/>
            </w:tcBorders>
            <w:shd w:fill="ACB20C" w:val="clear"/>
            <w:vAlign w:val="center"/>
          </w:tcPr>
          <w:p>
            <w:pPr>
              <w:pStyle w:val="Normal"/>
              <w:rPr/>
            </w:pPr>
            <w:r>
              <w:rPr/>
            </w:r>
          </w:p>
        </w:tc>
        <w:tc>
          <w:tcPr>
            <w:tcW w:w="3025" w:type="dxa"/>
            <w:vMerge w:val="continue"/>
            <w:tcBorders>
              <w:start w:val="single" w:sz="2" w:space="0" w:color="000000"/>
              <w:bottom w:val="single" w:sz="2" w:space="0" w:color="000000"/>
            </w:tcBorders>
            <w:shd w:fill="FFDE59" w:val="clear"/>
            <w:vAlign w:val="center"/>
          </w:tcPr>
          <w:p>
            <w:pPr>
              <w:pStyle w:val="Normal"/>
              <w:rPr/>
            </w:pPr>
            <w:r>
              <w:rPr/>
            </w:r>
          </w:p>
        </w:tc>
        <w:tc>
          <w:tcPr>
            <w:tcW w:w="2837" w:type="dxa"/>
            <w:tcBorders>
              <w:start w:val="single" w:sz="2" w:space="0" w:color="000000"/>
              <w:bottom w:val="single" w:sz="2" w:space="0" w:color="000000"/>
            </w:tcBorders>
            <w:shd w:fill="E6E905" w:val="clear"/>
            <w:vAlign w:val="center"/>
          </w:tcPr>
          <w:p>
            <w:pPr>
              <w:pStyle w:val="Zawartotabeli"/>
              <w:jc w:val="center"/>
              <w:rPr>
                <w:rFonts w:ascii="Calibri" w:hAnsi="Calibri"/>
              </w:rPr>
            </w:pPr>
            <w:r>
              <w:rPr>
                <w:rFonts w:ascii="Calibri" w:hAnsi="Calibri"/>
              </w:rPr>
              <w:t>składki na ubezpieczenie społeczne za osoby pobierające świadczenie pielęgnacyjne</w:t>
            </w:r>
          </w:p>
        </w:tc>
        <w:tc>
          <w:tcPr>
            <w:tcW w:w="1688" w:type="dxa"/>
            <w:tcBorders>
              <w:start w:val="single" w:sz="2" w:space="0" w:color="000000"/>
              <w:bottom w:val="single" w:sz="2" w:space="0" w:color="000000"/>
              <w:end w:val="single" w:sz="2" w:space="0" w:color="000000"/>
            </w:tcBorders>
            <w:shd w:fill="5EB91E" w:val="clear"/>
            <w:vAlign w:val="center"/>
          </w:tcPr>
          <w:p>
            <w:pPr>
              <w:pStyle w:val="Zawartotabeli"/>
              <w:jc w:val="center"/>
              <w:rPr>
                <w:rFonts w:ascii="Calibri" w:hAnsi="Calibri"/>
              </w:rPr>
            </w:pPr>
            <w:r>
              <w:rPr>
                <w:rFonts w:ascii="Calibri" w:hAnsi="Calibri"/>
              </w:rPr>
              <w:t>2 657 728,15 zł</w:t>
            </w:r>
          </w:p>
        </w:tc>
      </w:tr>
      <w:tr>
        <w:trPr/>
        <w:tc>
          <w:tcPr>
            <w:tcW w:w="513" w:type="dxa"/>
            <w:vMerge w:val="continue"/>
            <w:tcBorders>
              <w:start w:val="single" w:sz="2" w:space="0" w:color="000000"/>
              <w:bottom w:val="single" w:sz="2" w:space="0" w:color="000000"/>
              <w:end w:val="single" w:sz="2" w:space="0" w:color="000000"/>
            </w:tcBorders>
            <w:shd w:fill="FFBF00" w:val="clear"/>
            <w:vAlign w:val="center"/>
          </w:tcPr>
          <w:p>
            <w:pPr>
              <w:pStyle w:val="Normal"/>
              <w:rPr/>
            </w:pPr>
            <w:r>
              <w:rPr/>
            </w:r>
          </w:p>
        </w:tc>
        <w:tc>
          <w:tcPr>
            <w:tcW w:w="1450" w:type="dxa"/>
            <w:vMerge w:val="continue"/>
            <w:tcBorders>
              <w:start w:val="single" w:sz="2" w:space="0" w:color="000000"/>
              <w:bottom w:val="single" w:sz="2" w:space="0" w:color="000000"/>
            </w:tcBorders>
            <w:shd w:fill="ACB20C" w:val="clear"/>
            <w:vAlign w:val="center"/>
          </w:tcPr>
          <w:p>
            <w:pPr>
              <w:pStyle w:val="Normal"/>
              <w:rPr/>
            </w:pPr>
            <w:r>
              <w:rPr/>
            </w:r>
          </w:p>
        </w:tc>
        <w:tc>
          <w:tcPr>
            <w:tcW w:w="3025" w:type="dxa"/>
            <w:vMerge w:val="continue"/>
            <w:tcBorders>
              <w:start w:val="single" w:sz="2" w:space="0" w:color="000000"/>
              <w:bottom w:val="single" w:sz="2" w:space="0" w:color="000000"/>
            </w:tcBorders>
            <w:shd w:fill="FFDE59" w:val="clear"/>
            <w:vAlign w:val="center"/>
          </w:tcPr>
          <w:p>
            <w:pPr>
              <w:pStyle w:val="Normal"/>
              <w:rPr/>
            </w:pPr>
            <w:r>
              <w:rPr/>
            </w:r>
          </w:p>
        </w:tc>
        <w:tc>
          <w:tcPr>
            <w:tcW w:w="2837" w:type="dxa"/>
            <w:tcBorders>
              <w:start w:val="single" w:sz="2" w:space="0" w:color="000000"/>
              <w:bottom w:val="single" w:sz="2" w:space="0" w:color="000000"/>
            </w:tcBorders>
            <w:shd w:fill="E6E905" w:val="clear"/>
            <w:vAlign w:val="center"/>
          </w:tcPr>
          <w:p>
            <w:pPr>
              <w:pStyle w:val="Zawartotabeli"/>
              <w:jc w:val="center"/>
              <w:rPr>
                <w:rFonts w:ascii="Calibri" w:hAnsi="Calibri"/>
              </w:rPr>
            </w:pPr>
            <w:r>
              <w:rPr>
                <w:rFonts w:ascii="Calibri" w:hAnsi="Calibri"/>
              </w:rPr>
              <w:t>wynagrodzenia i pochodne</w:t>
            </w:r>
          </w:p>
        </w:tc>
        <w:tc>
          <w:tcPr>
            <w:tcW w:w="1688" w:type="dxa"/>
            <w:tcBorders>
              <w:start w:val="single" w:sz="2" w:space="0" w:color="000000"/>
              <w:bottom w:val="single" w:sz="2" w:space="0" w:color="000000"/>
              <w:end w:val="single" w:sz="2" w:space="0" w:color="000000"/>
            </w:tcBorders>
            <w:shd w:fill="5EB91E" w:val="clear"/>
            <w:vAlign w:val="center"/>
          </w:tcPr>
          <w:p>
            <w:pPr>
              <w:pStyle w:val="Zawartotabeli"/>
              <w:jc w:val="center"/>
              <w:rPr>
                <w:rFonts w:ascii="Calibri" w:hAnsi="Calibri"/>
              </w:rPr>
            </w:pPr>
            <w:r>
              <w:rPr>
                <w:rFonts w:ascii="Calibri" w:hAnsi="Calibri"/>
              </w:rPr>
              <w:t>1 000 516,56 zł</w:t>
            </w:r>
          </w:p>
        </w:tc>
      </w:tr>
      <w:tr>
        <w:trPr/>
        <w:tc>
          <w:tcPr>
            <w:tcW w:w="513" w:type="dxa"/>
            <w:vMerge w:val="continue"/>
            <w:tcBorders>
              <w:start w:val="single" w:sz="2" w:space="0" w:color="000000"/>
              <w:bottom w:val="single" w:sz="2" w:space="0" w:color="000000"/>
              <w:end w:val="single" w:sz="2" w:space="0" w:color="000000"/>
            </w:tcBorders>
            <w:shd w:fill="FFBF00" w:val="clear"/>
            <w:vAlign w:val="center"/>
          </w:tcPr>
          <w:p>
            <w:pPr>
              <w:pStyle w:val="Normal"/>
              <w:rPr/>
            </w:pPr>
            <w:r>
              <w:rPr/>
            </w:r>
          </w:p>
        </w:tc>
        <w:tc>
          <w:tcPr>
            <w:tcW w:w="1450" w:type="dxa"/>
            <w:vMerge w:val="continue"/>
            <w:tcBorders>
              <w:start w:val="single" w:sz="2" w:space="0" w:color="000000"/>
              <w:bottom w:val="single" w:sz="2" w:space="0" w:color="000000"/>
            </w:tcBorders>
            <w:shd w:fill="ACB20C" w:val="clear"/>
            <w:vAlign w:val="center"/>
          </w:tcPr>
          <w:p>
            <w:pPr>
              <w:pStyle w:val="Normal"/>
              <w:rPr/>
            </w:pPr>
            <w:r>
              <w:rPr/>
            </w:r>
          </w:p>
        </w:tc>
        <w:tc>
          <w:tcPr>
            <w:tcW w:w="3025" w:type="dxa"/>
            <w:vMerge w:val="continue"/>
            <w:tcBorders>
              <w:start w:val="single" w:sz="2" w:space="0" w:color="000000"/>
              <w:bottom w:val="single" w:sz="2" w:space="0" w:color="000000"/>
            </w:tcBorders>
            <w:shd w:fill="FFDE59" w:val="clear"/>
            <w:vAlign w:val="center"/>
          </w:tcPr>
          <w:p>
            <w:pPr>
              <w:pStyle w:val="Normal"/>
              <w:rPr/>
            </w:pPr>
            <w:r>
              <w:rPr/>
            </w:r>
          </w:p>
        </w:tc>
        <w:tc>
          <w:tcPr>
            <w:tcW w:w="2837" w:type="dxa"/>
            <w:tcBorders>
              <w:start w:val="single" w:sz="2" w:space="0" w:color="000000"/>
              <w:bottom w:val="single" w:sz="2" w:space="0" w:color="000000"/>
            </w:tcBorders>
            <w:shd w:fill="E6E905" w:val="clear"/>
            <w:vAlign w:val="center"/>
          </w:tcPr>
          <w:p>
            <w:pPr>
              <w:pStyle w:val="Zawartotabeli"/>
              <w:jc w:val="center"/>
              <w:rPr>
                <w:rFonts w:ascii="Calibri" w:hAnsi="Calibri"/>
              </w:rPr>
            </w:pPr>
            <w:r>
              <w:rPr>
                <w:rFonts w:ascii="Calibri" w:hAnsi="Calibri"/>
              </w:rPr>
              <w:t>koszty obsługi</w:t>
            </w:r>
          </w:p>
        </w:tc>
        <w:tc>
          <w:tcPr>
            <w:tcW w:w="1688" w:type="dxa"/>
            <w:tcBorders>
              <w:start w:val="single" w:sz="2" w:space="0" w:color="000000"/>
              <w:bottom w:val="single" w:sz="2" w:space="0" w:color="000000"/>
              <w:end w:val="single" w:sz="2" w:space="0" w:color="000000"/>
            </w:tcBorders>
            <w:shd w:fill="5EB91E" w:val="clear"/>
            <w:vAlign w:val="center"/>
          </w:tcPr>
          <w:p>
            <w:pPr>
              <w:pStyle w:val="Zawartotabeli"/>
              <w:jc w:val="center"/>
              <w:rPr>
                <w:rFonts w:ascii="Calibri" w:hAnsi="Calibri"/>
              </w:rPr>
            </w:pPr>
            <w:r>
              <w:rPr>
                <w:rFonts w:ascii="Calibri" w:hAnsi="Calibri"/>
              </w:rPr>
              <w:t>24 999,83 zł</w:t>
            </w:r>
          </w:p>
        </w:tc>
      </w:tr>
      <w:tr>
        <w:trPr/>
        <w:tc>
          <w:tcPr>
            <w:tcW w:w="513" w:type="dxa"/>
            <w:vMerge w:val="restart"/>
            <w:tcBorders>
              <w:start w:val="single" w:sz="2" w:space="0" w:color="000000"/>
              <w:bottom w:val="single" w:sz="2" w:space="0" w:color="000000"/>
              <w:end w:val="single" w:sz="2" w:space="0" w:color="000000"/>
            </w:tcBorders>
            <w:shd w:fill="FFBF00" w:val="clear"/>
            <w:vAlign w:val="center"/>
          </w:tcPr>
          <w:p>
            <w:pPr>
              <w:pStyle w:val="Zawartotabeli"/>
              <w:jc w:val="center"/>
              <w:rPr>
                <w:rFonts w:ascii="Calibri" w:hAnsi="Calibri"/>
                <w:b/>
                <w:bCs/>
              </w:rPr>
            </w:pPr>
            <w:r>
              <w:rPr>
                <w:rFonts w:ascii="Calibri" w:hAnsi="Calibri"/>
                <w:b/>
                <w:bCs/>
              </w:rPr>
              <w:t>7.</w:t>
            </w:r>
          </w:p>
        </w:tc>
        <w:tc>
          <w:tcPr>
            <w:tcW w:w="1450" w:type="dxa"/>
            <w:vMerge w:val="restart"/>
            <w:tcBorders>
              <w:top w:val="single" w:sz="2" w:space="0" w:color="000000"/>
              <w:start w:val="single" w:sz="2" w:space="0" w:color="000000"/>
              <w:bottom w:val="single" w:sz="2" w:space="0" w:color="000000"/>
              <w:end w:val="single" w:sz="2" w:space="0" w:color="000000"/>
            </w:tcBorders>
            <w:shd w:fill="ACB20C" w:val="clear"/>
            <w:vAlign w:val="center"/>
          </w:tcPr>
          <w:p>
            <w:pPr>
              <w:pStyle w:val="Zawartotabeli"/>
              <w:jc w:val="center"/>
              <w:rPr>
                <w:rFonts w:ascii="Calibri" w:hAnsi="Calibri"/>
                <w:b/>
                <w:bCs/>
              </w:rPr>
            </w:pPr>
            <w:r>
              <w:rPr>
                <w:rFonts w:ascii="Calibri" w:hAnsi="Calibri"/>
                <w:b/>
                <w:bCs/>
              </w:rPr>
              <w:t>85502</w:t>
            </w:r>
          </w:p>
        </w:tc>
        <w:tc>
          <w:tcPr>
            <w:tcW w:w="3025" w:type="dxa"/>
            <w:vMerge w:val="restart"/>
            <w:tcBorders>
              <w:top w:val="single" w:sz="2" w:space="0" w:color="000000"/>
              <w:start w:val="single" w:sz="2" w:space="0" w:color="000000"/>
              <w:bottom w:val="single" w:sz="2" w:space="0" w:color="000000"/>
              <w:end w:val="single" w:sz="2" w:space="0" w:color="000000"/>
            </w:tcBorders>
            <w:shd w:fill="FFDE59" w:val="clear"/>
            <w:vAlign w:val="center"/>
          </w:tcPr>
          <w:p>
            <w:pPr>
              <w:pStyle w:val="Zawartotabeli"/>
              <w:jc w:val="center"/>
              <w:rPr>
                <w:rFonts w:ascii="Calibri" w:hAnsi="Calibri"/>
                <w:b/>
                <w:bCs/>
              </w:rPr>
            </w:pPr>
            <w:r>
              <w:rPr>
                <w:rFonts w:ascii="Calibri" w:hAnsi="Calibri"/>
                <w:b/>
                <w:bCs/>
              </w:rPr>
              <w:t>Świadczenie „Za życiem”</w:t>
            </w:r>
          </w:p>
        </w:tc>
        <w:tc>
          <w:tcPr>
            <w:tcW w:w="2837" w:type="dxa"/>
            <w:tcBorders>
              <w:start w:val="single" w:sz="2" w:space="0" w:color="000000"/>
              <w:bottom w:val="single" w:sz="2" w:space="0" w:color="000000"/>
            </w:tcBorders>
            <w:shd w:fill="E6E905" w:val="clear"/>
            <w:vAlign w:val="center"/>
          </w:tcPr>
          <w:p>
            <w:pPr>
              <w:pStyle w:val="Zawartotabeli"/>
              <w:jc w:val="center"/>
              <w:rPr>
                <w:rFonts w:ascii="Calibri" w:hAnsi="Calibri"/>
              </w:rPr>
            </w:pPr>
            <w:r>
              <w:rPr>
                <w:rFonts w:ascii="Calibri" w:hAnsi="Calibri"/>
              </w:rPr>
            </w:r>
          </w:p>
        </w:tc>
        <w:tc>
          <w:tcPr>
            <w:tcW w:w="1688" w:type="dxa"/>
            <w:tcBorders>
              <w:start w:val="single" w:sz="2" w:space="0" w:color="000000"/>
              <w:bottom w:val="single" w:sz="2" w:space="0" w:color="000000"/>
              <w:end w:val="single" w:sz="2" w:space="0" w:color="000000"/>
            </w:tcBorders>
            <w:shd w:fill="5EB91E" w:val="clear"/>
            <w:vAlign w:val="center"/>
          </w:tcPr>
          <w:p>
            <w:pPr>
              <w:pStyle w:val="Zawartotabeli"/>
              <w:jc w:val="center"/>
              <w:rPr>
                <w:rFonts w:ascii="Calibri" w:hAnsi="Calibri"/>
                <w:b/>
                <w:bCs/>
              </w:rPr>
            </w:pPr>
            <w:r>
              <w:rPr>
                <w:rFonts w:ascii="Calibri" w:hAnsi="Calibri"/>
                <w:b/>
                <w:bCs/>
              </w:rPr>
              <w:t>20 615,00 zł</w:t>
            </w:r>
          </w:p>
        </w:tc>
      </w:tr>
      <w:tr>
        <w:trPr/>
        <w:tc>
          <w:tcPr>
            <w:tcW w:w="513" w:type="dxa"/>
            <w:vMerge w:val="continue"/>
            <w:tcBorders>
              <w:start w:val="single" w:sz="2" w:space="0" w:color="000000"/>
              <w:bottom w:val="single" w:sz="2" w:space="0" w:color="000000"/>
              <w:end w:val="single" w:sz="2" w:space="0" w:color="000000"/>
            </w:tcBorders>
            <w:shd w:fill="FFBF00" w:val="clear"/>
            <w:vAlign w:val="center"/>
          </w:tcPr>
          <w:p>
            <w:pPr>
              <w:pStyle w:val="Normal"/>
              <w:rPr/>
            </w:pPr>
            <w:r>
              <w:rPr/>
            </w:r>
          </w:p>
        </w:tc>
        <w:tc>
          <w:tcPr>
            <w:tcW w:w="1450" w:type="dxa"/>
            <w:vMerge w:val="continue"/>
            <w:tcBorders>
              <w:top w:val="single" w:sz="2" w:space="0" w:color="000000"/>
              <w:start w:val="single" w:sz="2" w:space="0" w:color="000000"/>
              <w:bottom w:val="single" w:sz="2" w:space="0" w:color="000000"/>
              <w:end w:val="single" w:sz="2" w:space="0" w:color="000000"/>
            </w:tcBorders>
            <w:shd w:fill="ACB20C" w:val="clear"/>
            <w:vAlign w:val="center"/>
          </w:tcPr>
          <w:p>
            <w:pPr>
              <w:pStyle w:val="Normal"/>
              <w:rPr/>
            </w:pPr>
            <w:r>
              <w:rPr/>
            </w:r>
          </w:p>
        </w:tc>
        <w:tc>
          <w:tcPr>
            <w:tcW w:w="3025" w:type="dxa"/>
            <w:vMerge w:val="continue"/>
            <w:tcBorders>
              <w:top w:val="single" w:sz="2" w:space="0" w:color="000000"/>
              <w:start w:val="single" w:sz="2" w:space="0" w:color="000000"/>
              <w:bottom w:val="single" w:sz="2" w:space="0" w:color="000000"/>
              <w:end w:val="single" w:sz="2" w:space="0" w:color="000000"/>
            </w:tcBorders>
            <w:shd w:fill="FFDE59" w:val="clear"/>
            <w:vAlign w:val="center"/>
          </w:tcPr>
          <w:p>
            <w:pPr>
              <w:pStyle w:val="Normal"/>
              <w:rPr/>
            </w:pPr>
            <w:r>
              <w:rPr/>
            </w:r>
          </w:p>
        </w:tc>
        <w:tc>
          <w:tcPr>
            <w:tcW w:w="2837" w:type="dxa"/>
            <w:tcBorders>
              <w:start w:val="single" w:sz="2" w:space="0" w:color="000000"/>
              <w:bottom w:val="single" w:sz="2" w:space="0" w:color="000000"/>
            </w:tcBorders>
            <w:shd w:fill="E6E905" w:val="clear"/>
            <w:vAlign w:val="center"/>
          </w:tcPr>
          <w:p>
            <w:pPr>
              <w:pStyle w:val="Zawartotabeli"/>
              <w:jc w:val="center"/>
              <w:rPr>
                <w:rFonts w:ascii="Calibri" w:hAnsi="Calibri"/>
              </w:rPr>
            </w:pPr>
            <w:r>
              <w:rPr>
                <w:rFonts w:ascii="Calibri" w:hAnsi="Calibri"/>
              </w:rPr>
              <w:t>Świadczenie „Za życiem”</w:t>
            </w:r>
          </w:p>
        </w:tc>
        <w:tc>
          <w:tcPr>
            <w:tcW w:w="1688" w:type="dxa"/>
            <w:tcBorders>
              <w:start w:val="single" w:sz="2" w:space="0" w:color="000000"/>
              <w:bottom w:val="single" w:sz="2" w:space="0" w:color="000000"/>
              <w:end w:val="single" w:sz="2" w:space="0" w:color="000000"/>
            </w:tcBorders>
            <w:shd w:fill="5EB91E" w:val="clear"/>
            <w:vAlign w:val="center"/>
          </w:tcPr>
          <w:p>
            <w:pPr>
              <w:pStyle w:val="Zawartotabeli"/>
              <w:jc w:val="center"/>
              <w:rPr>
                <w:rFonts w:ascii="Calibri" w:hAnsi="Calibri"/>
              </w:rPr>
            </w:pPr>
            <w:r>
              <w:rPr>
                <w:rFonts w:ascii="Calibri" w:hAnsi="Calibri"/>
              </w:rPr>
              <w:t>20 000,00 zł</w:t>
            </w:r>
          </w:p>
        </w:tc>
      </w:tr>
      <w:tr>
        <w:trPr/>
        <w:tc>
          <w:tcPr>
            <w:tcW w:w="513" w:type="dxa"/>
            <w:vMerge w:val="continue"/>
            <w:tcBorders>
              <w:start w:val="single" w:sz="2" w:space="0" w:color="000000"/>
              <w:bottom w:val="single" w:sz="2" w:space="0" w:color="000000"/>
              <w:end w:val="single" w:sz="2" w:space="0" w:color="000000"/>
            </w:tcBorders>
            <w:shd w:fill="FFBF00" w:val="clear"/>
            <w:vAlign w:val="center"/>
          </w:tcPr>
          <w:p>
            <w:pPr>
              <w:pStyle w:val="Normal"/>
              <w:rPr/>
            </w:pPr>
            <w:r>
              <w:rPr/>
            </w:r>
          </w:p>
        </w:tc>
        <w:tc>
          <w:tcPr>
            <w:tcW w:w="1450" w:type="dxa"/>
            <w:vMerge w:val="continue"/>
            <w:tcBorders>
              <w:top w:val="single" w:sz="2" w:space="0" w:color="000000"/>
              <w:start w:val="single" w:sz="2" w:space="0" w:color="000000"/>
              <w:bottom w:val="single" w:sz="2" w:space="0" w:color="000000"/>
              <w:end w:val="single" w:sz="2" w:space="0" w:color="000000"/>
            </w:tcBorders>
            <w:shd w:fill="ACB20C" w:val="clear"/>
            <w:vAlign w:val="center"/>
          </w:tcPr>
          <w:p>
            <w:pPr>
              <w:pStyle w:val="Normal"/>
              <w:rPr/>
            </w:pPr>
            <w:r>
              <w:rPr/>
            </w:r>
          </w:p>
        </w:tc>
        <w:tc>
          <w:tcPr>
            <w:tcW w:w="3025" w:type="dxa"/>
            <w:vMerge w:val="continue"/>
            <w:tcBorders>
              <w:top w:val="single" w:sz="2" w:space="0" w:color="000000"/>
              <w:start w:val="single" w:sz="2" w:space="0" w:color="000000"/>
              <w:bottom w:val="single" w:sz="2" w:space="0" w:color="000000"/>
              <w:end w:val="single" w:sz="2" w:space="0" w:color="000000"/>
            </w:tcBorders>
            <w:shd w:fill="FFDE59" w:val="clear"/>
            <w:vAlign w:val="center"/>
          </w:tcPr>
          <w:p>
            <w:pPr>
              <w:pStyle w:val="Normal"/>
              <w:rPr/>
            </w:pPr>
            <w:r>
              <w:rPr/>
            </w:r>
          </w:p>
        </w:tc>
        <w:tc>
          <w:tcPr>
            <w:tcW w:w="2837" w:type="dxa"/>
            <w:tcBorders>
              <w:start w:val="single" w:sz="2" w:space="0" w:color="000000"/>
              <w:bottom w:val="single" w:sz="2" w:space="0" w:color="000000"/>
            </w:tcBorders>
            <w:shd w:fill="E6E905" w:val="clear"/>
            <w:vAlign w:val="center"/>
          </w:tcPr>
          <w:p>
            <w:pPr>
              <w:pStyle w:val="Zawartotabeli"/>
              <w:jc w:val="center"/>
              <w:rPr>
                <w:rFonts w:ascii="Calibri" w:hAnsi="Calibri"/>
              </w:rPr>
            </w:pPr>
            <w:r>
              <w:rPr>
                <w:rFonts w:ascii="Calibri" w:hAnsi="Calibri"/>
              </w:rPr>
              <w:t>koszty obsługi</w:t>
            </w:r>
          </w:p>
        </w:tc>
        <w:tc>
          <w:tcPr>
            <w:tcW w:w="1688" w:type="dxa"/>
            <w:tcBorders>
              <w:start w:val="single" w:sz="2" w:space="0" w:color="000000"/>
              <w:bottom w:val="single" w:sz="2" w:space="0" w:color="000000"/>
              <w:end w:val="single" w:sz="2" w:space="0" w:color="000000"/>
            </w:tcBorders>
            <w:shd w:fill="5EB91E" w:val="clear"/>
            <w:vAlign w:val="center"/>
          </w:tcPr>
          <w:p>
            <w:pPr>
              <w:pStyle w:val="Zawartotabeli"/>
              <w:jc w:val="center"/>
              <w:rPr>
                <w:rFonts w:ascii="Calibri" w:hAnsi="Calibri"/>
              </w:rPr>
            </w:pPr>
            <w:r>
              <w:rPr>
                <w:rFonts w:ascii="Calibri" w:hAnsi="Calibri"/>
              </w:rPr>
              <w:t>615,00 zł</w:t>
            </w:r>
          </w:p>
        </w:tc>
      </w:tr>
      <w:tr>
        <w:trPr/>
        <w:tc>
          <w:tcPr>
            <w:tcW w:w="513" w:type="dxa"/>
            <w:vMerge w:val="restart"/>
            <w:tcBorders>
              <w:start w:val="single" w:sz="2" w:space="0" w:color="000000"/>
              <w:bottom w:val="single" w:sz="2" w:space="0" w:color="000000"/>
              <w:end w:val="single" w:sz="2" w:space="0" w:color="000000"/>
            </w:tcBorders>
            <w:shd w:fill="FFBF00" w:val="clear"/>
            <w:vAlign w:val="center"/>
          </w:tcPr>
          <w:p>
            <w:pPr>
              <w:pStyle w:val="Zawartotabeli"/>
              <w:jc w:val="center"/>
              <w:rPr>
                <w:rFonts w:ascii="Calibri" w:hAnsi="Calibri"/>
                <w:b/>
                <w:bCs/>
              </w:rPr>
            </w:pPr>
            <w:r>
              <w:rPr>
                <w:rFonts w:ascii="Calibri" w:hAnsi="Calibri"/>
                <w:b/>
                <w:bCs/>
              </w:rPr>
              <w:t>8.</w:t>
            </w:r>
          </w:p>
        </w:tc>
        <w:tc>
          <w:tcPr>
            <w:tcW w:w="1450" w:type="dxa"/>
            <w:vMerge w:val="restart"/>
            <w:tcBorders>
              <w:start w:val="single" w:sz="2" w:space="0" w:color="000000"/>
              <w:bottom w:val="single" w:sz="2" w:space="0" w:color="000000"/>
              <w:end w:val="single" w:sz="2" w:space="0" w:color="000000"/>
            </w:tcBorders>
            <w:shd w:fill="ACB20C" w:val="clear"/>
            <w:vAlign w:val="center"/>
          </w:tcPr>
          <w:p>
            <w:pPr>
              <w:pStyle w:val="Zawartotabeli"/>
              <w:jc w:val="center"/>
              <w:rPr>
                <w:rFonts w:ascii="Calibri" w:hAnsi="Calibri"/>
                <w:b/>
                <w:bCs/>
              </w:rPr>
            </w:pPr>
            <w:r>
              <w:rPr>
                <w:rFonts w:ascii="Calibri" w:hAnsi="Calibri"/>
                <w:b/>
                <w:bCs/>
              </w:rPr>
              <w:t>85502</w:t>
            </w:r>
          </w:p>
        </w:tc>
        <w:tc>
          <w:tcPr>
            <w:tcW w:w="3025" w:type="dxa"/>
            <w:vMerge w:val="restart"/>
            <w:tcBorders>
              <w:start w:val="single" w:sz="2" w:space="0" w:color="000000"/>
              <w:bottom w:val="single" w:sz="2" w:space="0" w:color="000000"/>
              <w:end w:val="single" w:sz="2" w:space="0" w:color="000000"/>
            </w:tcBorders>
            <w:shd w:fill="FFDE59" w:val="clear"/>
            <w:vAlign w:val="center"/>
          </w:tcPr>
          <w:p>
            <w:pPr>
              <w:pStyle w:val="Zawartotabeli"/>
              <w:jc w:val="center"/>
              <w:rPr>
                <w:rFonts w:ascii="Calibri" w:hAnsi="Calibri"/>
                <w:b/>
                <w:bCs/>
              </w:rPr>
            </w:pPr>
            <w:r>
              <w:rPr>
                <w:rFonts w:ascii="Calibri" w:hAnsi="Calibri"/>
                <w:b/>
                <w:bCs/>
              </w:rPr>
              <w:t>Świadczenie rodzinne Fundusz Pomocy Ukraina</w:t>
            </w:r>
          </w:p>
        </w:tc>
        <w:tc>
          <w:tcPr>
            <w:tcW w:w="2837" w:type="dxa"/>
            <w:tcBorders>
              <w:top w:val="single" w:sz="2" w:space="0" w:color="000000"/>
              <w:start w:val="single" w:sz="2" w:space="0" w:color="000000"/>
              <w:bottom w:val="single" w:sz="2" w:space="0" w:color="000000"/>
              <w:end w:val="single" w:sz="2" w:space="0" w:color="000000"/>
            </w:tcBorders>
            <w:shd w:fill="E6E905" w:val="clear"/>
            <w:vAlign w:val="center"/>
          </w:tcPr>
          <w:p>
            <w:pPr>
              <w:pStyle w:val="Zawartotabeli"/>
              <w:jc w:val="center"/>
              <w:rPr>
                <w:rFonts w:ascii="Calibri" w:hAnsi="Calibri"/>
              </w:rPr>
            </w:pPr>
            <w:r>
              <w:rPr>
                <w:rFonts w:ascii="Calibri" w:hAnsi="Calibri"/>
              </w:rPr>
            </w:r>
          </w:p>
        </w:tc>
        <w:tc>
          <w:tcPr>
            <w:tcW w:w="1688" w:type="dxa"/>
            <w:tcBorders>
              <w:start w:val="single" w:sz="2" w:space="0" w:color="000000"/>
              <w:bottom w:val="single" w:sz="2" w:space="0" w:color="000000"/>
              <w:end w:val="single" w:sz="2" w:space="0" w:color="000000"/>
            </w:tcBorders>
            <w:shd w:fill="5EB91E" w:val="clear"/>
            <w:vAlign w:val="center"/>
          </w:tcPr>
          <w:p>
            <w:pPr>
              <w:pStyle w:val="Zawartotabeli"/>
              <w:jc w:val="center"/>
              <w:rPr>
                <w:rFonts w:ascii="Calibri" w:hAnsi="Calibri"/>
                <w:b/>
                <w:bCs/>
              </w:rPr>
            </w:pPr>
            <w:r>
              <w:rPr>
                <w:rFonts w:ascii="Calibri" w:hAnsi="Calibri"/>
                <w:b/>
                <w:bCs/>
              </w:rPr>
              <w:t>734 392,23 zł</w:t>
            </w:r>
          </w:p>
        </w:tc>
      </w:tr>
      <w:tr>
        <w:trPr/>
        <w:tc>
          <w:tcPr>
            <w:tcW w:w="513" w:type="dxa"/>
            <w:vMerge w:val="continue"/>
            <w:tcBorders>
              <w:start w:val="single" w:sz="2" w:space="0" w:color="000000"/>
              <w:bottom w:val="single" w:sz="2" w:space="0" w:color="000000"/>
              <w:end w:val="single" w:sz="2" w:space="0" w:color="000000"/>
            </w:tcBorders>
            <w:shd w:fill="FFBF00" w:val="clear"/>
            <w:vAlign w:val="center"/>
          </w:tcPr>
          <w:p>
            <w:pPr>
              <w:pStyle w:val="Normal"/>
              <w:rPr/>
            </w:pPr>
            <w:r>
              <w:rPr/>
            </w:r>
          </w:p>
        </w:tc>
        <w:tc>
          <w:tcPr>
            <w:tcW w:w="1450" w:type="dxa"/>
            <w:vMerge w:val="continue"/>
            <w:tcBorders>
              <w:start w:val="single" w:sz="2" w:space="0" w:color="000000"/>
              <w:bottom w:val="single" w:sz="2" w:space="0" w:color="000000"/>
              <w:end w:val="single" w:sz="2" w:space="0" w:color="000000"/>
            </w:tcBorders>
            <w:shd w:fill="ACB20C" w:val="clear"/>
            <w:vAlign w:val="center"/>
          </w:tcPr>
          <w:p>
            <w:pPr>
              <w:pStyle w:val="Normal"/>
              <w:rPr/>
            </w:pPr>
            <w:r>
              <w:rPr/>
            </w:r>
          </w:p>
        </w:tc>
        <w:tc>
          <w:tcPr>
            <w:tcW w:w="3025" w:type="dxa"/>
            <w:vMerge w:val="continue"/>
            <w:tcBorders>
              <w:start w:val="single" w:sz="2" w:space="0" w:color="000000"/>
              <w:bottom w:val="single" w:sz="2" w:space="0" w:color="000000"/>
              <w:end w:val="single" w:sz="2" w:space="0" w:color="000000"/>
            </w:tcBorders>
            <w:shd w:fill="FFDE59" w:val="clear"/>
            <w:vAlign w:val="center"/>
          </w:tcPr>
          <w:p>
            <w:pPr>
              <w:pStyle w:val="Normal"/>
              <w:rPr/>
            </w:pPr>
            <w:r>
              <w:rPr/>
            </w:r>
          </w:p>
        </w:tc>
        <w:tc>
          <w:tcPr>
            <w:tcW w:w="2837" w:type="dxa"/>
            <w:tcBorders>
              <w:start w:val="single" w:sz="2" w:space="0" w:color="000000"/>
              <w:bottom w:val="single" w:sz="2" w:space="0" w:color="000000"/>
              <w:end w:val="single" w:sz="2" w:space="0" w:color="000000"/>
            </w:tcBorders>
            <w:shd w:fill="E6E905" w:val="clear"/>
            <w:vAlign w:val="center"/>
          </w:tcPr>
          <w:p>
            <w:pPr>
              <w:pStyle w:val="Zawartotabeli"/>
              <w:jc w:val="center"/>
              <w:rPr>
                <w:rFonts w:ascii="Calibri" w:hAnsi="Calibri"/>
              </w:rPr>
            </w:pPr>
            <w:r>
              <w:rPr>
                <w:rFonts w:ascii="Calibri" w:hAnsi="Calibri"/>
              </w:rPr>
              <w:t>świadczenia rodzinne</w:t>
            </w:r>
          </w:p>
        </w:tc>
        <w:tc>
          <w:tcPr>
            <w:tcW w:w="1688" w:type="dxa"/>
            <w:tcBorders>
              <w:start w:val="single" w:sz="2" w:space="0" w:color="000000"/>
              <w:bottom w:val="single" w:sz="2" w:space="0" w:color="000000"/>
              <w:end w:val="single" w:sz="2" w:space="0" w:color="000000"/>
            </w:tcBorders>
            <w:shd w:fill="5EB91E" w:val="clear"/>
            <w:vAlign w:val="center"/>
          </w:tcPr>
          <w:p>
            <w:pPr>
              <w:pStyle w:val="Zawartotabeli"/>
              <w:jc w:val="center"/>
              <w:rPr>
                <w:rFonts w:ascii="Calibri" w:hAnsi="Calibri"/>
              </w:rPr>
            </w:pPr>
            <w:r>
              <w:rPr>
                <w:rFonts w:ascii="Calibri" w:hAnsi="Calibri"/>
              </w:rPr>
              <w:t>659 026,30 zł</w:t>
            </w:r>
          </w:p>
        </w:tc>
      </w:tr>
      <w:tr>
        <w:trPr/>
        <w:tc>
          <w:tcPr>
            <w:tcW w:w="513" w:type="dxa"/>
            <w:vMerge w:val="continue"/>
            <w:tcBorders>
              <w:start w:val="single" w:sz="2" w:space="0" w:color="000000"/>
              <w:bottom w:val="single" w:sz="2" w:space="0" w:color="000000"/>
              <w:end w:val="single" w:sz="2" w:space="0" w:color="000000"/>
            </w:tcBorders>
            <w:shd w:fill="FFBF00" w:val="clear"/>
            <w:vAlign w:val="center"/>
          </w:tcPr>
          <w:p>
            <w:pPr>
              <w:pStyle w:val="Normal"/>
              <w:rPr/>
            </w:pPr>
            <w:r>
              <w:rPr/>
            </w:r>
          </w:p>
        </w:tc>
        <w:tc>
          <w:tcPr>
            <w:tcW w:w="1450" w:type="dxa"/>
            <w:vMerge w:val="continue"/>
            <w:tcBorders>
              <w:start w:val="single" w:sz="2" w:space="0" w:color="000000"/>
              <w:bottom w:val="single" w:sz="2" w:space="0" w:color="000000"/>
              <w:end w:val="single" w:sz="2" w:space="0" w:color="000000"/>
            </w:tcBorders>
            <w:shd w:fill="ACB20C" w:val="clear"/>
            <w:vAlign w:val="center"/>
          </w:tcPr>
          <w:p>
            <w:pPr>
              <w:pStyle w:val="Normal"/>
              <w:rPr/>
            </w:pPr>
            <w:r>
              <w:rPr/>
            </w:r>
          </w:p>
        </w:tc>
        <w:tc>
          <w:tcPr>
            <w:tcW w:w="3025" w:type="dxa"/>
            <w:vMerge w:val="continue"/>
            <w:tcBorders>
              <w:start w:val="single" w:sz="2" w:space="0" w:color="000000"/>
              <w:bottom w:val="single" w:sz="2" w:space="0" w:color="000000"/>
              <w:end w:val="single" w:sz="2" w:space="0" w:color="000000"/>
            </w:tcBorders>
            <w:shd w:fill="FFDE59" w:val="clear"/>
            <w:vAlign w:val="center"/>
          </w:tcPr>
          <w:p>
            <w:pPr>
              <w:pStyle w:val="Normal"/>
              <w:rPr/>
            </w:pPr>
            <w:r>
              <w:rPr/>
            </w:r>
          </w:p>
        </w:tc>
        <w:tc>
          <w:tcPr>
            <w:tcW w:w="2837" w:type="dxa"/>
            <w:tcBorders>
              <w:start w:val="single" w:sz="2" w:space="0" w:color="000000"/>
              <w:bottom w:val="single" w:sz="2" w:space="0" w:color="000000"/>
              <w:end w:val="single" w:sz="2" w:space="0" w:color="000000"/>
            </w:tcBorders>
            <w:shd w:fill="E6E905" w:val="clear"/>
            <w:vAlign w:val="center"/>
          </w:tcPr>
          <w:p>
            <w:pPr>
              <w:pStyle w:val="Zawartotabeli"/>
              <w:jc w:val="center"/>
              <w:rPr>
                <w:rFonts w:ascii="Calibri" w:hAnsi="Calibri"/>
              </w:rPr>
            </w:pPr>
            <w:r>
              <w:rPr>
                <w:rFonts w:ascii="Calibri" w:hAnsi="Calibri"/>
              </w:rPr>
              <w:t>składki na ubezpieczenie społeczne za osoby pobierające świadczenie pielęgnacyjne</w:t>
            </w:r>
          </w:p>
        </w:tc>
        <w:tc>
          <w:tcPr>
            <w:tcW w:w="1688" w:type="dxa"/>
            <w:tcBorders>
              <w:start w:val="single" w:sz="2" w:space="0" w:color="000000"/>
              <w:bottom w:val="single" w:sz="2" w:space="0" w:color="000000"/>
              <w:end w:val="single" w:sz="2" w:space="0" w:color="000000"/>
            </w:tcBorders>
            <w:shd w:fill="5EB91E" w:val="clear"/>
            <w:vAlign w:val="center"/>
          </w:tcPr>
          <w:p>
            <w:pPr>
              <w:pStyle w:val="Zawartotabeli"/>
              <w:jc w:val="center"/>
              <w:rPr>
                <w:rFonts w:ascii="Calibri" w:hAnsi="Calibri"/>
              </w:rPr>
            </w:pPr>
            <w:r>
              <w:rPr>
                <w:rFonts w:ascii="Calibri" w:hAnsi="Calibri"/>
              </w:rPr>
              <w:t>69 032,94 zł</w:t>
            </w:r>
          </w:p>
        </w:tc>
      </w:tr>
      <w:tr>
        <w:trPr/>
        <w:tc>
          <w:tcPr>
            <w:tcW w:w="513" w:type="dxa"/>
            <w:vMerge w:val="continue"/>
            <w:tcBorders>
              <w:start w:val="single" w:sz="2" w:space="0" w:color="000000"/>
              <w:bottom w:val="single" w:sz="2" w:space="0" w:color="000000"/>
              <w:end w:val="single" w:sz="2" w:space="0" w:color="000000"/>
            </w:tcBorders>
            <w:shd w:fill="FFBF00" w:val="clear"/>
            <w:vAlign w:val="center"/>
          </w:tcPr>
          <w:p>
            <w:pPr>
              <w:pStyle w:val="Normal"/>
              <w:rPr/>
            </w:pPr>
            <w:r>
              <w:rPr/>
            </w:r>
          </w:p>
        </w:tc>
        <w:tc>
          <w:tcPr>
            <w:tcW w:w="1450" w:type="dxa"/>
            <w:vMerge w:val="continue"/>
            <w:tcBorders>
              <w:start w:val="single" w:sz="2" w:space="0" w:color="000000"/>
              <w:bottom w:val="single" w:sz="2" w:space="0" w:color="000000"/>
              <w:end w:val="single" w:sz="2" w:space="0" w:color="000000"/>
            </w:tcBorders>
            <w:shd w:fill="ACB20C" w:val="clear"/>
            <w:vAlign w:val="center"/>
          </w:tcPr>
          <w:p>
            <w:pPr>
              <w:pStyle w:val="Normal"/>
              <w:rPr/>
            </w:pPr>
            <w:r>
              <w:rPr/>
            </w:r>
          </w:p>
        </w:tc>
        <w:tc>
          <w:tcPr>
            <w:tcW w:w="3025" w:type="dxa"/>
            <w:vMerge w:val="continue"/>
            <w:tcBorders>
              <w:start w:val="single" w:sz="2" w:space="0" w:color="000000"/>
              <w:bottom w:val="single" w:sz="2" w:space="0" w:color="000000"/>
              <w:end w:val="single" w:sz="2" w:space="0" w:color="000000"/>
            </w:tcBorders>
            <w:shd w:fill="FFDE59" w:val="clear"/>
            <w:vAlign w:val="center"/>
          </w:tcPr>
          <w:p>
            <w:pPr>
              <w:pStyle w:val="Normal"/>
              <w:rPr/>
            </w:pPr>
            <w:r>
              <w:rPr/>
            </w:r>
          </w:p>
        </w:tc>
        <w:tc>
          <w:tcPr>
            <w:tcW w:w="2837" w:type="dxa"/>
            <w:tcBorders>
              <w:start w:val="single" w:sz="2" w:space="0" w:color="000000"/>
              <w:bottom w:val="single" w:sz="2" w:space="0" w:color="000000"/>
              <w:end w:val="single" w:sz="2" w:space="0" w:color="000000"/>
            </w:tcBorders>
            <w:shd w:fill="E6E905" w:val="clear"/>
            <w:vAlign w:val="center"/>
          </w:tcPr>
          <w:p>
            <w:pPr>
              <w:pStyle w:val="Zawartotabeli"/>
              <w:jc w:val="center"/>
              <w:rPr>
                <w:rFonts w:ascii="Calibri" w:hAnsi="Calibri"/>
              </w:rPr>
            </w:pPr>
            <w:r>
              <w:rPr>
                <w:rFonts w:ascii="Calibri" w:hAnsi="Calibri"/>
              </w:rPr>
              <w:t>wynagrodzenia i pochodne</w:t>
            </w:r>
          </w:p>
        </w:tc>
        <w:tc>
          <w:tcPr>
            <w:tcW w:w="1688" w:type="dxa"/>
            <w:tcBorders>
              <w:start w:val="single" w:sz="2" w:space="0" w:color="000000"/>
              <w:bottom w:val="single" w:sz="2" w:space="0" w:color="000000"/>
              <w:end w:val="single" w:sz="2" w:space="0" w:color="000000"/>
            </w:tcBorders>
            <w:shd w:fill="5EB91E" w:val="clear"/>
            <w:vAlign w:val="center"/>
          </w:tcPr>
          <w:p>
            <w:pPr>
              <w:pStyle w:val="Zawartotabeli"/>
              <w:jc w:val="center"/>
              <w:rPr>
                <w:rFonts w:ascii="Calibri" w:hAnsi="Calibri"/>
              </w:rPr>
            </w:pPr>
            <w:r>
              <w:rPr>
                <w:rFonts w:ascii="Calibri" w:hAnsi="Calibri"/>
              </w:rPr>
              <w:t>5 951,65 zł</w:t>
            </w:r>
          </w:p>
        </w:tc>
      </w:tr>
      <w:tr>
        <w:trPr/>
        <w:tc>
          <w:tcPr>
            <w:tcW w:w="513" w:type="dxa"/>
            <w:vMerge w:val="continue"/>
            <w:tcBorders>
              <w:start w:val="single" w:sz="2" w:space="0" w:color="000000"/>
              <w:bottom w:val="single" w:sz="2" w:space="0" w:color="000000"/>
              <w:end w:val="single" w:sz="2" w:space="0" w:color="000000"/>
            </w:tcBorders>
            <w:shd w:fill="FFBF00" w:val="clear"/>
            <w:vAlign w:val="center"/>
          </w:tcPr>
          <w:p>
            <w:pPr>
              <w:pStyle w:val="Normal"/>
              <w:rPr/>
            </w:pPr>
            <w:r>
              <w:rPr/>
            </w:r>
          </w:p>
        </w:tc>
        <w:tc>
          <w:tcPr>
            <w:tcW w:w="1450" w:type="dxa"/>
            <w:vMerge w:val="continue"/>
            <w:tcBorders>
              <w:start w:val="single" w:sz="2" w:space="0" w:color="000000"/>
              <w:bottom w:val="single" w:sz="2" w:space="0" w:color="000000"/>
              <w:end w:val="single" w:sz="2" w:space="0" w:color="000000"/>
            </w:tcBorders>
            <w:shd w:fill="ACB20C" w:val="clear"/>
            <w:vAlign w:val="center"/>
          </w:tcPr>
          <w:p>
            <w:pPr>
              <w:pStyle w:val="Normal"/>
              <w:rPr/>
            </w:pPr>
            <w:r>
              <w:rPr/>
            </w:r>
          </w:p>
        </w:tc>
        <w:tc>
          <w:tcPr>
            <w:tcW w:w="3025" w:type="dxa"/>
            <w:vMerge w:val="continue"/>
            <w:tcBorders>
              <w:start w:val="single" w:sz="2" w:space="0" w:color="000000"/>
              <w:bottom w:val="single" w:sz="2" w:space="0" w:color="000000"/>
              <w:end w:val="single" w:sz="2" w:space="0" w:color="000000"/>
            </w:tcBorders>
            <w:shd w:fill="FFDE59" w:val="clear"/>
            <w:vAlign w:val="center"/>
          </w:tcPr>
          <w:p>
            <w:pPr>
              <w:pStyle w:val="Normal"/>
              <w:rPr/>
            </w:pPr>
            <w:r>
              <w:rPr/>
            </w:r>
          </w:p>
        </w:tc>
        <w:tc>
          <w:tcPr>
            <w:tcW w:w="2837" w:type="dxa"/>
            <w:tcBorders>
              <w:start w:val="single" w:sz="2" w:space="0" w:color="000000"/>
              <w:bottom w:val="single" w:sz="2" w:space="0" w:color="000000"/>
              <w:end w:val="single" w:sz="2" w:space="0" w:color="000000"/>
            </w:tcBorders>
            <w:shd w:fill="E6E905" w:val="clear"/>
            <w:vAlign w:val="center"/>
          </w:tcPr>
          <w:p>
            <w:pPr>
              <w:pStyle w:val="Zawartotabeli"/>
              <w:jc w:val="center"/>
              <w:rPr>
                <w:rFonts w:ascii="Calibri" w:hAnsi="Calibri"/>
              </w:rPr>
            </w:pPr>
            <w:r>
              <w:rPr>
                <w:rFonts w:ascii="Calibri" w:hAnsi="Calibri"/>
              </w:rPr>
              <w:t>koszty obsługi</w:t>
            </w:r>
          </w:p>
        </w:tc>
        <w:tc>
          <w:tcPr>
            <w:tcW w:w="1688" w:type="dxa"/>
            <w:tcBorders>
              <w:start w:val="single" w:sz="2" w:space="0" w:color="000000"/>
              <w:bottom w:val="single" w:sz="2" w:space="0" w:color="000000"/>
              <w:end w:val="single" w:sz="2" w:space="0" w:color="000000"/>
            </w:tcBorders>
            <w:shd w:fill="5EB91E" w:val="clear"/>
            <w:vAlign w:val="center"/>
          </w:tcPr>
          <w:p>
            <w:pPr>
              <w:pStyle w:val="Zawartotabeli"/>
              <w:jc w:val="center"/>
              <w:rPr>
                <w:rFonts w:ascii="Calibri" w:hAnsi="Calibri"/>
              </w:rPr>
            </w:pPr>
            <w:r>
              <w:rPr>
                <w:rFonts w:ascii="Calibri" w:hAnsi="Calibri"/>
              </w:rPr>
              <w:t>381,34 zł</w:t>
            </w:r>
          </w:p>
        </w:tc>
      </w:tr>
      <w:tr>
        <w:trPr/>
        <w:tc>
          <w:tcPr>
            <w:tcW w:w="513" w:type="dxa"/>
            <w:tcBorders>
              <w:start w:val="single" w:sz="2" w:space="0" w:color="000000"/>
              <w:bottom w:val="single" w:sz="2" w:space="0" w:color="000000"/>
              <w:end w:val="single" w:sz="2" w:space="0" w:color="000000"/>
            </w:tcBorders>
            <w:shd w:fill="FFBF00" w:val="clear"/>
            <w:vAlign w:val="center"/>
          </w:tcPr>
          <w:p>
            <w:pPr>
              <w:pStyle w:val="Zawartotabeli"/>
              <w:jc w:val="center"/>
              <w:rPr>
                <w:rFonts w:ascii="Calibri" w:hAnsi="Calibri"/>
                <w:b/>
                <w:bCs/>
              </w:rPr>
            </w:pPr>
            <w:r>
              <w:rPr>
                <w:rFonts w:ascii="Calibri" w:hAnsi="Calibri"/>
                <w:b/>
                <w:bCs/>
              </w:rPr>
              <w:t>9.</w:t>
            </w:r>
          </w:p>
        </w:tc>
        <w:tc>
          <w:tcPr>
            <w:tcW w:w="1450" w:type="dxa"/>
            <w:tcBorders>
              <w:start w:val="single" w:sz="2" w:space="0" w:color="000000"/>
              <w:bottom w:val="single" w:sz="2" w:space="0" w:color="000000"/>
            </w:tcBorders>
            <w:shd w:fill="ACB20C" w:val="clear"/>
            <w:vAlign w:val="center"/>
          </w:tcPr>
          <w:p>
            <w:pPr>
              <w:pStyle w:val="Zawartotabeli"/>
              <w:jc w:val="center"/>
              <w:rPr>
                <w:rFonts w:ascii="Calibri" w:hAnsi="Calibri"/>
                <w:b/>
                <w:bCs/>
              </w:rPr>
            </w:pPr>
            <w:r>
              <w:rPr>
                <w:rFonts w:ascii="Calibri" w:hAnsi="Calibri"/>
                <w:b/>
                <w:bCs/>
              </w:rPr>
              <w:t>85513</w:t>
            </w:r>
          </w:p>
        </w:tc>
        <w:tc>
          <w:tcPr>
            <w:tcW w:w="3025" w:type="dxa"/>
            <w:tcBorders>
              <w:start w:val="single" w:sz="2" w:space="0" w:color="000000"/>
              <w:bottom w:val="single" w:sz="2" w:space="0" w:color="000000"/>
            </w:tcBorders>
            <w:shd w:fill="FFDE59" w:val="clear"/>
            <w:vAlign w:val="center"/>
          </w:tcPr>
          <w:p>
            <w:pPr>
              <w:pStyle w:val="Zawartotabeli"/>
              <w:jc w:val="center"/>
              <w:rPr>
                <w:rFonts w:ascii="Calibri" w:hAnsi="Calibri"/>
                <w:b/>
                <w:bCs/>
              </w:rPr>
            </w:pPr>
            <w:r>
              <w:rPr>
                <w:rFonts w:ascii="Calibri" w:hAnsi="Calibri"/>
                <w:b/>
                <w:bCs/>
              </w:rPr>
              <w:t>Składki na ubezpieczenie zdrowotne za osoby pobierające niektóre świadczenia rodzinne</w:t>
            </w:r>
          </w:p>
        </w:tc>
        <w:tc>
          <w:tcPr>
            <w:tcW w:w="2837" w:type="dxa"/>
            <w:tcBorders>
              <w:start w:val="single" w:sz="2" w:space="0" w:color="000000"/>
              <w:bottom w:val="single" w:sz="2" w:space="0" w:color="000000"/>
              <w:end w:val="single" w:sz="2" w:space="0" w:color="000000"/>
            </w:tcBorders>
            <w:shd w:fill="E6E905" w:val="clear"/>
            <w:vAlign w:val="center"/>
          </w:tcPr>
          <w:p>
            <w:pPr>
              <w:pStyle w:val="Zawartotabeli"/>
              <w:jc w:val="center"/>
              <w:rPr>
                <w:rFonts w:ascii="Calibri" w:hAnsi="Calibri"/>
              </w:rPr>
            </w:pPr>
            <w:r>
              <w:rPr>
                <w:rFonts w:ascii="Calibri" w:hAnsi="Calibri"/>
              </w:rPr>
            </w:r>
          </w:p>
        </w:tc>
        <w:tc>
          <w:tcPr>
            <w:tcW w:w="1688" w:type="dxa"/>
            <w:tcBorders>
              <w:start w:val="single" w:sz="2" w:space="0" w:color="000000"/>
              <w:bottom w:val="single" w:sz="2" w:space="0" w:color="000000"/>
              <w:end w:val="single" w:sz="2" w:space="0" w:color="000000"/>
            </w:tcBorders>
            <w:shd w:fill="5EB91E" w:val="clear"/>
            <w:vAlign w:val="center"/>
          </w:tcPr>
          <w:p>
            <w:pPr>
              <w:pStyle w:val="Zawartotabeli"/>
              <w:jc w:val="center"/>
              <w:rPr>
                <w:rFonts w:ascii="Calibri" w:hAnsi="Calibri"/>
                <w:b/>
                <w:bCs/>
              </w:rPr>
            </w:pPr>
            <w:r>
              <w:rPr>
                <w:rFonts w:ascii="Calibri" w:hAnsi="Calibri"/>
                <w:b/>
                <w:bCs/>
              </w:rPr>
              <w:t>642 619,00 zł</w:t>
            </w:r>
          </w:p>
        </w:tc>
      </w:tr>
    </w:tbl>
    <w:p>
      <w:pPr>
        <w:pStyle w:val="Normal"/>
        <w:spacing w:lineRule="auto" w:line="360"/>
        <w:rPr>
          <w:rFonts w:ascii="Calibri" w:hAnsi="Calibri"/>
        </w:rPr>
      </w:pPr>
      <w:r>
        <w:rPr>
          <w:rFonts w:ascii="Calibri" w:hAnsi="Calibri"/>
        </w:rPr>
      </w:r>
    </w:p>
    <w:p>
      <w:pPr>
        <w:pStyle w:val="Normal"/>
        <w:spacing w:lineRule="auto" w:line="360"/>
        <w:jc w:val="both"/>
        <w:rPr/>
      </w:pPr>
      <w:r>
        <w:rPr>
          <w:rStyle w:val="Domylnaczcionkaakapitu"/>
          <w:rFonts w:ascii="Calibri" w:hAnsi="Calibri"/>
          <w:b/>
          <w:bCs/>
        </w:rPr>
        <w:t>II. na realizację zadań własnych</w:t>
      </w:r>
      <w:r>
        <w:rPr>
          <w:rStyle w:val="Domylnaczcionkaakapitu"/>
          <w:rFonts w:ascii="Calibri" w:hAnsi="Calibri"/>
        </w:rPr>
        <w:t xml:space="preserve"> rozdysponowano środki finansowe w łącznej wysokości:</w:t>
      </w:r>
    </w:p>
    <w:p>
      <w:pPr>
        <w:pStyle w:val="Normal"/>
        <w:spacing w:lineRule="auto" w:line="360"/>
        <w:jc w:val="both"/>
        <w:rPr/>
      </w:pPr>
      <w:r>
        <w:rPr>
          <w:rStyle w:val="Domylnaczcionkaakapitu"/>
          <w:rFonts w:ascii="Calibri" w:hAnsi="Calibri"/>
          <w:b/>
          <w:bCs/>
        </w:rPr>
        <w:t>36 628 953,50 zł</w:t>
      </w:r>
      <w:r>
        <w:rPr>
          <w:rStyle w:val="Domylnaczcionkaakapitu"/>
          <w:rFonts w:ascii="Calibri" w:hAnsi="Calibri"/>
        </w:rPr>
        <w:t>, z tego:</w:t>
      </w:r>
    </w:p>
    <w:p>
      <w:pPr>
        <w:pStyle w:val="Normal"/>
        <w:spacing w:lineRule="auto" w:line="360"/>
        <w:jc w:val="both"/>
        <w:rPr>
          <w:rFonts w:ascii="Calibri" w:hAnsi="Calibri"/>
          <w:b/>
          <w:bCs/>
        </w:rPr>
      </w:pPr>
      <w:r>
        <w:rPr>
          <w:rFonts w:ascii="Calibri" w:hAnsi="Calibri"/>
          <w:b/>
          <w:bCs/>
        </w:rPr>
      </w:r>
    </w:p>
    <w:tbl>
      <w:tblPr>
        <w:tblW w:w="9450" w:type="dxa"/>
        <w:jc w:val="start"/>
        <w:tblInd w:w="184" w:type="dxa"/>
        <w:tblLayout w:type="fixed"/>
        <w:tblCellMar>
          <w:top w:w="55" w:type="dxa"/>
          <w:start w:w="55" w:type="dxa"/>
          <w:bottom w:w="55" w:type="dxa"/>
          <w:end w:w="55" w:type="dxa"/>
        </w:tblCellMar>
      </w:tblPr>
      <w:tblGrid>
        <w:gridCol w:w="450"/>
        <w:gridCol w:w="1450"/>
        <w:gridCol w:w="3090"/>
        <w:gridCol w:w="2718"/>
        <w:gridCol w:w="1742"/>
      </w:tblGrid>
      <w:tr>
        <w:trPr/>
        <w:tc>
          <w:tcPr>
            <w:tcW w:w="450" w:type="dxa"/>
            <w:tcBorders>
              <w:top w:val="single" w:sz="2" w:space="0" w:color="000000"/>
              <w:start w:val="single" w:sz="2" w:space="0" w:color="000000"/>
              <w:bottom w:val="single" w:sz="2" w:space="0" w:color="000000"/>
            </w:tcBorders>
            <w:shd w:fill="FF4000" w:val="clear"/>
            <w:vAlign w:val="center"/>
          </w:tcPr>
          <w:p>
            <w:pPr>
              <w:pStyle w:val="Zawartotabeli"/>
              <w:jc w:val="center"/>
              <w:rPr>
                <w:rFonts w:ascii="Calibri" w:hAnsi="Calibri"/>
                <w:b/>
                <w:bCs/>
                <w:i/>
                <w:iCs/>
              </w:rPr>
            </w:pPr>
            <w:r>
              <w:rPr>
                <w:rFonts w:ascii="Calibri" w:hAnsi="Calibri"/>
                <w:b/>
                <w:bCs/>
                <w:i/>
                <w:iCs/>
              </w:rPr>
              <w:t>Lp.</w:t>
            </w:r>
          </w:p>
        </w:tc>
        <w:tc>
          <w:tcPr>
            <w:tcW w:w="1450" w:type="dxa"/>
            <w:tcBorders>
              <w:top w:val="single" w:sz="2" w:space="0" w:color="000000"/>
              <w:start w:val="single" w:sz="2" w:space="0" w:color="000000"/>
              <w:bottom w:val="single" w:sz="2" w:space="0" w:color="000000"/>
            </w:tcBorders>
            <w:shd w:fill="FF4000" w:val="clear"/>
            <w:vAlign w:val="center"/>
          </w:tcPr>
          <w:p>
            <w:pPr>
              <w:pStyle w:val="Zawartotabeli"/>
              <w:jc w:val="center"/>
              <w:rPr>
                <w:rFonts w:ascii="Calibri" w:hAnsi="Calibri"/>
                <w:b/>
                <w:bCs/>
                <w:i/>
                <w:iCs/>
              </w:rPr>
            </w:pPr>
            <w:r>
              <w:rPr>
                <w:rFonts w:ascii="Calibri" w:hAnsi="Calibri"/>
                <w:b/>
                <w:bCs/>
                <w:i/>
                <w:iCs/>
              </w:rPr>
              <w:t>Rozdział</w:t>
            </w:r>
          </w:p>
        </w:tc>
        <w:tc>
          <w:tcPr>
            <w:tcW w:w="3090" w:type="dxa"/>
            <w:tcBorders>
              <w:top w:val="single" w:sz="2" w:space="0" w:color="000000"/>
              <w:start w:val="single" w:sz="2" w:space="0" w:color="000000"/>
              <w:bottom w:val="single" w:sz="2" w:space="0" w:color="000000"/>
            </w:tcBorders>
            <w:shd w:fill="FF4000" w:val="clear"/>
            <w:vAlign w:val="center"/>
          </w:tcPr>
          <w:p>
            <w:pPr>
              <w:pStyle w:val="Zawartotabeli"/>
              <w:jc w:val="center"/>
              <w:rPr>
                <w:rFonts w:ascii="Calibri" w:hAnsi="Calibri"/>
                <w:b/>
                <w:bCs/>
                <w:i/>
                <w:iCs/>
              </w:rPr>
            </w:pPr>
            <w:r>
              <w:rPr>
                <w:rFonts w:ascii="Calibri" w:hAnsi="Calibri"/>
                <w:b/>
                <w:bCs/>
                <w:i/>
                <w:iCs/>
              </w:rPr>
              <w:t>Nazwa świadczenia</w:t>
            </w:r>
          </w:p>
        </w:tc>
        <w:tc>
          <w:tcPr>
            <w:tcW w:w="2718" w:type="dxa"/>
            <w:tcBorders>
              <w:top w:val="single" w:sz="2" w:space="0" w:color="000000"/>
              <w:start w:val="single" w:sz="2" w:space="0" w:color="000000"/>
              <w:bottom w:val="single" w:sz="2" w:space="0" w:color="000000"/>
            </w:tcBorders>
            <w:shd w:fill="FF4000" w:val="clear"/>
            <w:vAlign w:val="center"/>
          </w:tcPr>
          <w:p>
            <w:pPr>
              <w:pStyle w:val="Zawartotabeli"/>
              <w:jc w:val="center"/>
              <w:rPr>
                <w:rFonts w:ascii="Calibri" w:hAnsi="Calibri"/>
                <w:b/>
                <w:bCs/>
                <w:i/>
                <w:iCs/>
              </w:rPr>
            </w:pPr>
            <w:r>
              <w:rPr>
                <w:rFonts w:ascii="Calibri" w:hAnsi="Calibri"/>
                <w:b/>
                <w:bCs/>
                <w:i/>
                <w:iCs/>
              </w:rPr>
              <w:t>Rodzaj świadczenia</w:t>
            </w:r>
          </w:p>
        </w:tc>
        <w:tc>
          <w:tcPr>
            <w:tcW w:w="1742" w:type="dxa"/>
            <w:tcBorders>
              <w:top w:val="single" w:sz="2" w:space="0" w:color="000000"/>
              <w:start w:val="single" w:sz="2" w:space="0" w:color="000000"/>
              <w:bottom w:val="single" w:sz="2" w:space="0" w:color="000000"/>
              <w:end w:val="single" w:sz="2" w:space="0" w:color="000000"/>
            </w:tcBorders>
            <w:shd w:fill="FF4000" w:val="clear"/>
            <w:vAlign w:val="center"/>
          </w:tcPr>
          <w:p>
            <w:pPr>
              <w:pStyle w:val="Zawartotabeli"/>
              <w:jc w:val="center"/>
              <w:rPr>
                <w:rFonts w:ascii="Calibri" w:hAnsi="Calibri"/>
                <w:b/>
                <w:bCs/>
                <w:i/>
                <w:iCs/>
              </w:rPr>
            </w:pPr>
            <w:r>
              <w:rPr>
                <w:rFonts w:ascii="Calibri" w:hAnsi="Calibri"/>
                <w:b/>
                <w:bCs/>
                <w:i/>
                <w:iCs/>
              </w:rPr>
              <w:t>Kwota</w:t>
            </w:r>
          </w:p>
        </w:tc>
      </w:tr>
      <w:tr>
        <w:trPr/>
        <w:tc>
          <w:tcPr>
            <w:tcW w:w="450" w:type="dxa"/>
            <w:tcBorders>
              <w:start w:val="single" w:sz="2" w:space="0" w:color="000000"/>
              <w:bottom w:val="single" w:sz="2" w:space="0" w:color="000000"/>
            </w:tcBorders>
            <w:shd w:fill="FFBF00" w:val="clear"/>
            <w:vAlign w:val="center"/>
          </w:tcPr>
          <w:p>
            <w:pPr>
              <w:pStyle w:val="Zawartotabeli"/>
              <w:jc w:val="center"/>
              <w:rPr>
                <w:rFonts w:ascii="Calibri" w:hAnsi="Calibri"/>
                <w:b/>
                <w:bCs/>
              </w:rPr>
            </w:pPr>
            <w:r>
              <w:rPr>
                <w:rFonts w:ascii="Calibri" w:hAnsi="Calibri"/>
                <w:b/>
                <w:bCs/>
              </w:rPr>
              <w:t>1.</w:t>
            </w:r>
          </w:p>
        </w:tc>
        <w:tc>
          <w:tcPr>
            <w:tcW w:w="1450" w:type="dxa"/>
            <w:tcBorders>
              <w:start w:val="single" w:sz="2" w:space="0" w:color="000000"/>
              <w:bottom w:val="single" w:sz="2" w:space="0" w:color="000000"/>
            </w:tcBorders>
            <w:shd w:fill="ACB20C" w:val="clear"/>
            <w:vAlign w:val="center"/>
          </w:tcPr>
          <w:p>
            <w:pPr>
              <w:pStyle w:val="Zawartotabeli"/>
              <w:jc w:val="center"/>
              <w:rPr>
                <w:rFonts w:ascii="Calibri" w:hAnsi="Calibri"/>
                <w:b/>
                <w:bCs/>
              </w:rPr>
            </w:pPr>
            <w:r>
              <w:rPr>
                <w:rFonts w:ascii="Calibri" w:hAnsi="Calibri"/>
                <w:b/>
                <w:bCs/>
              </w:rPr>
              <w:t>85154</w:t>
            </w:r>
          </w:p>
        </w:tc>
        <w:tc>
          <w:tcPr>
            <w:tcW w:w="3090" w:type="dxa"/>
            <w:tcBorders>
              <w:start w:val="single" w:sz="2" w:space="0" w:color="000000"/>
              <w:bottom w:val="single" w:sz="2" w:space="0" w:color="000000"/>
            </w:tcBorders>
            <w:shd w:fill="FFDE59" w:val="clear"/>
            <w:vAlign w:val="center"/>
          </w:tcPr>
          <w:p>
            <w:pPr>
              <w:pStyle w:val="Zawartotabeli"/>
              <w:jc w:val="center"/>
              <w:rPr>
                <w:rFonts w:ascii="Calibri" w:hAnsi="Calibri"/>
                <w:b/>
                <w:bCs/>
              </w:rPr>
            </w:pPr>
            <w:r>
              <w:rPr>
                <w:rFonts w:ascii="Calibri" w:hAnsi="Calibri"/>
                <w:b/>
                <w:bCs/>
              </w:rPr>
              <w:t>Przeciwdziałanie alkoholizmowi</w:t>
            </w:r>
          </w:p>
        </w:tc>
        <w:tc>
          <w:tcPr>
            <w:tcW w:w="2718" w:type="dxa"/>
            <w:tcBorders>
              <w:start w:val="single" w:sz="2" w:space="0" w:color="000000"/>
              <w:bottom w:val="single" w:sz="2" w:space="0" w:color="000000"/>
            </w:tcBorders>
            <w:shd w:fill="E6E905" w:val="clear"/>
            <w:vAlign w:val="center"/>
          </w:tcPr>
          <w:p>
            <w:pPr>
              <w:pStyle w:val="Zawartotabeli"/>
              <w:jc w:val="center"/>
              <w:rPr>
                <w:rFonts w:ascii="Calibri" w:hAnsi="Calibri"/>
                <w:b/>
                <w:bCs/>
                <w:i/>
                <w:iCs/>
              </w:rPr>
            </w:pPr>
            <w:r>
              <w:rPr>
                <w:rFonts w:ascii="Calibri" w:hAnsi="Calibri"/>
                <w:b/>
                <w:bCs/>
                <w:i/>
                <w:iCs/>
              </w:rPr>
            </w:r>
          </w:p>
        </w:tc>
        <w:tc>
          <w:tcPr>
            <w:tcW w:w="1742" w:type="dxa"/>
            <w:tcBorders>
              <w:start w:val="single" w:sz="2" w:space="0" w:color="000000"/>
              <w:bottom w:val="single" w:sz="2" w:space="0" w:color="000000"/>
              <w:end w:val="single" w:sz="2" w:space="0" w:color="000000"/>
            </w:tcBorders>
            <w:shd w:fill="5EB91E" w:val="clear"/>
            <w:vAlign w:val="center"/>
          </w:tcPr>
          <w:p>
            <w:pPr>
              <w:pStyle w:val="Zawartotabeli"/>
              <w:jc w:val="center"/>
              <w:rPr>
                <w:rFonts w:ascii="Calibri" w:hAnsi="Calibri"/>
                <w:b/>
                <w:bCs/>
              </w:rPr>
            </w:pPr>
            <w:r>
              <w:rPr>
                <w:rFonts w:ascii="Calibri" w:hAnsi="Calibri"/>
                <w:b/>
                <w:bCs/>
              </w:rPr>
              <w:t>2 500,00 zł</w:t>
            </w:r>
          </w:p>
        </w:tc>
      </w:tr>
      <w:tr>
        <w:trPr/>
        <w:tc>
          <w:tcPr>
            <w:tcW w:w="450" w:type="dxa"/>
            <w:tcBorders>
              <w:start w:val="single" w:sz="2" w:space="0" w:color="000000"/>
              <w:bottom w:val="single" w:sz="2" w:space="0" w:color="000000"/>
            </w:tcBorders>
            <w:shd w:fill="FFBF00" w:val="clear"/>
            <w:vAlign w:val="center"/>
          </w:tcPr>
          <w:p>
            <w:pPr>
              <w:pStyle w:val="Zawartotabeli"/>
              <w:jc w:val="center"/>
              <w:rPr>
                <w:rFonts w:ascii="Calibri" w:hAnsi="Calibri"/>
                <w:b/>
                <w:bCs/>
              </w:rPr>
            </w:pPr>
            <w:r>
              <w:rPr>
                <w:rFonts w:ascii="Calibri" w:hAnsi="Calibri"/>
                <w:b/>
                <w:bCs/>
              </w:rPr>
              <w:t>2.</w:t>
            </w:r>
          </w:p>
        </w:tc>
        <w:tc>
          <w:tcPr>
            <w:tcW w:w="1450" w:type="dxa"/>
            <w:tcBorders>
              <w:start w:val="single" w:sz="2" w:space="0" w:color="000000"/>
              <w:bottom w:val="single" w:sz="2" w:space="0" w:color="000000"/>
            </w:tcBorders>
            <w:shd w:fill="ACB20C" w:val="clear"/>
            <w:vAlign w:val="center"/>
          </w:tcPr>
          <w:p>
            <w:pPr>
              <w:pStyle w:val="Zawartotabeli"/>
              <w:jc w:val="center"/>
              <w:rPr>
                <w:rFonts w:ascii="Calibri" w:hAnsi="Calibri"/>
                <w:b/>
                <w:bCs/>
              </w:rPr>
            </w:pPr>
            <w:r>
              <w:rPr>
                <w:rFonts w:ascii="Calibri" w:hAnsi="Calibri"/>
                <w:b/>
                <w:bCs/>
              </w:rPr>
              <w:t>85202</w:t>
            </w:r>
          </w:p>
        </w:tc>
        <w:tc>
          <w:tcPr>
            <w:tcW w:w="3090" w:type="dxa"/>
            <w:tcBorders>
              <w:start w:val="single" w:sz="2" w:space="0" w:color="000000"/>
              <w:bottom w:val="single" w:sz="2" w:space="0" w:color="000000"/>
            </w:tcBorders>
            <w:shd w:fill="FFDE59" w:val="clear"/>
            <w:vAlign w:val="center"/>
          </w:tcPr>
          <w:p>
            <w:pPr>
              <w:pStyle w:val="Zawartotabeli"/>
              <w:jc w:val="center"/>
              <w:rPr>
                <w:rFonts w:ascii="Calibri" w:hAnsi="Calibri"/>
                <w:b/>
                <w:bCs/>
              </w:rPr>
            </w:pPr>
            <w:r>
              <w:rPr>
                <w:rFonts w:ascii="Calibri" w:hAnsi="Calibri"/>
                <w:b/>
                <w:bCs/>
              </w:rPr>
              <w:t>Domy Pomocy Społecznej</w:t>
            </w:r>
          </w:p>
        </w:tc>
        <w:tc>
          <w:tcPr>
            <w:tcW w:w="2718" w:type="dxa"/>
            <w:tcBorders>
              <w:start w:val="single" w:sz="2" w:space="0" w:color="000000"/>
              <w:bottom w:val="single" w:sz="2" w:space="0" w:color="000000"/>
            </w:tcBorders>
            <w:shd w:fill="E6E905" w:val="clear"/>
            <w:vAlign w:val="center"/>
          </w:tcPr>
          <w:p>
            <w:pPr>
              <w:pStyle w:val="Zawartotabeli"/>
              <w:jc w:val="center"/>
              <w:rPr>
                <w:rFonts w:ascii="Calibri" w:hAnsi="Calibri"/>
                <w:b/>
                <w:bCs/>
                <w:i/>
                <w:iCs/>
              </w:rPr>
            </w:pPr>
            <w:r>
              <w:rPr>
                <w:rFonts w:ascii="Calibri" w:hAnsi="Calibri"/>
                <w:b/>
                <w:bCs/>
                <w:i/>
                <w:iCs/>
              </w:rPr>
            </w:r>
          </w:p>
        </w:tc>
        <w:tc>
          <w:tcPr>
            <w:tcW w:w="1742" w:type="dxa"/>
            <w:tcBorders>
              <w:start w:val="single" w:sz="2" w:space="0" w:color="000000"/>
              <w:bottom w:val="single" w:sz="2" w:space="0" w:color="000000"/>
              <w:end w:val="single" w:sz="2" w:space="0" w:color="000000"/>
            </w:tcBorders>
            <w:shd w:fill="5EB91E" w:val="clear"/>
            <w:vAlign w:val="center"/>
          </w:tcPr>
          <w:p>
            <w:pPr>
              <w:pStyle w:val="Zawartotabeli"/>
              <w:jc w:val="center"/>
              <w:rPr>
                <w:rFonts w:ascii="Calibri" w:hAnsi="Calibri"/>
                <w:b/>
                <w:bCs/>
              </w:rPr>
            </w:pPr>
            <w:r>
              <w:rPr>
                <w:rFonts w:ascii="Calibri" w:hAnsi="Calibri"/>
                <w:b/>
                <w:bCs/>
              </w:rPr>
              <w:t>10 534 269,18 zł</w:t>
            </w:r>
          </w:p>
        </w:tc>
      </w:tr>
      <w:tr>
        <w:trPr/>
        <w:tc>
          <w:tcPr>
            <w:tcW w:w="450" w:type="dxa"/>
            <w:tcBorders>
              <w:start w:val="single" w:sz="2" w:space="0" w:color="000000"/>
              <w:bottom w:val="single" w:sz="2" w:space="0" w:color="000000"/>
            </w:tcBorders>
            <w:shd w:fill="FFBF00" w:val="clear"/>
            <w:vAlign w:val="center"/>
          </w:tcPr>
          <w:p>
            <w:pPr>
              <w:pStyle w:val="Zawartotabeli"/>
              <w:jc w:val="center"/>
              <w:rPr>
                <w:rFonts w:ascii="Calibri" w:hAnsi="Calibri"/>
                <w:b/>
                <w:bCs/>
              </w:rPr>
            </w:pPr>
            <w:r>
              <w:rPr>
                <w:rFonts w:ascii="Calibri" w:hAnsi="Calibri"/>
                <w:b/>
                <w:bCs/>
              </w:rPr>
              <w:t>3.</w:t>
            </w:r>
          </w:p>
        </w:tc>
        <w:tc>
          <w:tcPr>
            <w:tcW w:w="1450" w:type="dxa"/>
            <w:tcBorders>
              <w:start w:val="single" w:sz="2" w:space="0" w:color="000000"/>
              <w:bottom w:val="single" w:sz="2" w:space="0" w:color="000000"/>
            </w:tcBorders>
            <w:shd w:fill="ACB20C" w:val="clear"/>
            <w:vAlign w:val="center"/>
          </w:tcPr>
          <w:p>
            <w:pPr>
              <w:pStyle w:val="Zawartotabeli"/>
              <w:jc w:val="center"/>
              <w:rPr>
                <w:rFonts w:ascii="Calibri" w:hAnsi="Calibri"/>
                <w:b/>
                <w:bCs/>
              </w:rPr>
            </w:pPr>
            <w:r>
              <w:rPr>
                <w:rFonts w:ascii="Calibri" w:hAnsi="Calibri"/>
                <w:b/>
                <w:bCs/>
              </w:rPr>
              <w:t>85203</w:t>
            </w:r>
          </w:p>
        </w:tc>
        <w:tc>
          <w:tcPr>
            <w:tcW w:w="3090" w:type="dxa"/>
            <w:tcBorders>
              <w:start w:val="single" w:sz="2" w:space="0" w:color="000000"/>
              <w:bottom w:val="single" w:sz="2" w:space="0" w:color="000000"/>
            </w:tcBorders>
            <w:shd w:fill="FFDE59" w:val="clear"/>
            <w:vAlign w:val="center"/>
          </w:tcPr>
          <w:p>
            <w:pPr>
              <w:pStyle w:val="Zawartotabeli"/>
              <w:jc w:val="center"/>
              <w:rPr>
                <w:rFonts w:ascii="Calibri" w:hAnsi="Calibri"/>
                <w:b/>
                <w:bCs/>
              </w:rPr>
            </w:pPr>
            <w:r>
              <w:rPr>
                <w:rFonts w:ascii="Calibri" w:hAnsi="Calibri"/>
                <w:b/>
                <w:bCs/>
              </w:rPr>
              <w:t>Dodatki motywacyjne</w:t>
            </w:r>
          </w:p>
        </w:tc>
        <w:tc>
          <w:tcPr>
            <w:tcW w:w="2718" w:type="dxa"/>
            <w:tcBorders>
              <w:start w:val="single" w:sz="2" w:space="0" w:color="000000"/>
              <w:bottom w:val="single" w:sz="2" w:space="0" w:color="000000"/>
            </w:tcBorders>
            <w:shd w:fill="E6E905" w:val="clear"/>
            <w:vAlign w:val="center"/>
          </w:tcPr>
          <w:p>
            <w:pPr>
              <w:pStyle w:val="Zawartotabeli"/>
              <w:jc w:val="center"/>
              <w:rPr>
                <w:rFonts w:ascii="Calibri" w:hAnsi="Calibri"/>
                <w:b/>
                <w:bCs/>
                <w:i/>
                <w:iCs/>
              </w:rPr>
            </w:pPr>
            <w:r>
              <w:rPr>
                <w:rFonts w:ascii="Calibri" w:hAnsi="Calibri"/>
                <w:b/>
                <w:bCs/>
                <w:i/>
                <w:iCs/>
              </w:rPr>
            </w:r>
          </w:p>
        </w:tc>
        <w:tc>
          <w:tcPr>
            <w:tcW w:w="1742" w:type="dxa"/>
            <w:tcBorders>
              <w:start w:val="single" w:sz="2" w:space="0" w:color="000000"/>
              <w:bottom w:val="single" w:sz="2" w:space="0" w:color="000000"/>
              <w:end w:val="single" w:sz="2" w:space="0" w:color="000000"/>
            </w:tcBorders>
            <w:shd w:fill="5EB91E" w:val="clear"/>
            <w:vAlign w:val="center"/>
          </w:tcPr>
          <w:p>
            <w:pPr>
              <w:pStyle w:val="Zawartotabeli"/>
              <w:jc w:val="center"/>
              <w:rPr>
                <w:rFonts w:ascii="Calibri" w:hAnsi="Calibri"/>
                <w:b/>
                <w:bCs/>
              </w:rPr>
            </w:pPr>
            <w:r>
              <w:rPr>
                <w:rFonts w:ascii="Calibri" w:hAnsi="Calibri"/>
                <w:b/>
                <w:bCs/>
              </w:rPr>
              <w:t>132 328,02 zł</w:t>
            </w:r>
          </w:p>
        </w:tc>
      </w:tr>
      <w:tr>
        <w:trPr/>
        <w:tc>
          <w:tcPr>
            <w:tcW w:w="450" w:type="dxa"/>
            <w:tcBorders>
              <w:start w:val="single" w:sz="2" w:space="0" w:color="000000"/>
              <w:bottom w:val="single" w:sz="2" w:space="0" w:color="000000"/>
            </w:tcBorders>
            <w:shd w:fill="FFBF00" w:val="clear"/>
            <w:vAlign w:val="center"/>
          </w:tcPr>
          <w:p>
            <w:pPr>
              <w:pStyle w:val="Zawartotabeli"/>
              <w:jc w:val="center"/>
              <w:rPr>
                <w:rFonts w:ascii="Calibri" w:hAnsi="Calibri"/>
                <w:b/>
                <w:bCs/>
              </w:rPr>
            </w:pPr>
            <w:r>
              <w:rPr>
                <w:rFonts w:ascii="Calibri" w:hAnsi="Calibri"/>
                <w:b/>
                <w:bCs/>
              </w:rPr>
              <w:t>4.</w:t>
            </w:r>
          </w:p>
        </w:tc>
        <w:tc>
          <w:tcPr>
            <w:tcW w:w="1450" w:type="dxa"/>
            <w:tcBorders>
              <w:start w:val="single" w:sz="2" w:space="0" w:color="000000"/>
              <w:bottom w:val="single" w:sz="2" w:space="0" w:color="000000"/>
            </w:tcBorders>
            <w:shd w:fill="ACB20C" w:val="clear"/>
            <w:vAlign w:val="center"/>
          </w:tcPr>
          <w:p>
            <w:pPr>
              <w:pStyle w:val="Zawartotabeli"/>
              <w:jc w:val="center"/>
              <w:rPr>
                <w:rFonts w:ascii="Calibri" w:hAnsi="Calibri"/>
                <w:b/>
                <w:bCs/>
              </w:rPr>
            </w:pPr>
            <w:r>
              <w:rPr>
                <w:rFonts w:ascii="Calibri" w:hAnsi="Calibri"/>
                <w:b/>
                <w:bCs/>
              </w:rPr>
              <w:t>85205</w:t>
            </w:r>
          </w:p>
        </w:tc>
        <w:tc>
          <w:tcPr>
            <w:tcW w:w="3090" w:type="dxa"/>
            <w:tcBorders>
              <w:start w:val="single" w:sz="2" w:space="0" w:color="000000"/>
              <w:bottom w:val="single" w:sz="2" w:space="0" w:color="000000"/>
            </w:tcBorders>
            <w:shd w:fill="FFDE59" w:val="clear"/>
            <w:vAlign w:val="center"/>
          </w:tcPr>
          <w:p>
            <w:pPr>
              <w:pStyle w:val="Zawartotabeli"/>
              <w:jc w:val="center"/>
              <w:rPr>
                <w:rFonts w:ascii="Calibri" w:hAnsi="Calibri"/>
                <w:b/>
                <w:bCs/>
              </w:rPr>
            </w:pPr>
            <w:r>
              <w:rPr>
                <w:rFonts w:ascii="Calibri" w:hAnsi="Calibri"/>
                <w:b/>
                <w:bCs/>
              </w:rPr>
              <w:t>Zadania w zakresie przeciwdziałania przemocy</w:t>
            </w:r>
          </w:p>
        </w:tc>
        <w:tc>
          <w:tcPr>
            <w:tcW w:w="2718" w:type="dxa"/>
            <w:tcBorders>
              <w:start w:val="single" w:sz="2" w:space="0" w:color="000000"/>
              <w:bottom w:val="single" w:sz="2" w:space="0" w:color="000000"/>
            </w:tcBorders>
            <w:shd w:fill="E6E905" w:val="clear"/>
            <w:vAlign w:val="center"/>
          </w:tcPr>
          <w:p>
            <w:pPr>
              <w:pStyle w:val="Zawartotabeli"/>
              <w:jc w:val="center"/>
              <w:rPr>
                <w:rFonts w:ascii="Calibri" w:hAnsi="Calibri"/>
              </w:rPr>
            </w:pPr>
            <w:r>
              <w:rPr>
                <w:rFonts w:ascii="Calibri" w:hAnsi="Calibri"/>
              </w:rPr>
              <w:t>Koszty obsługi:</w:t>
              <w:br/>
              <w:t>- środki z dotacji - 6 000,00 zł</w:t>
            </w:r>
          </w:p>
          <w:p>
            <w:pPr>
              <w:pStyle w:val="Zawartotabeli"/>
              <w:jc w:val="center"/>
              <w:rPr>
                <w:rFonts w:ascii="Calibri" w:hAnsi="Calibri"/>
              </w:rPr>
            </w:pPr>
            <w:r>
              <w:rPr>
                <w:rFonts w:ascii="Calibri" w:hAnsi="Calibri"/>
              </w:rPr>
              <w:t>- środki własne -    1 500,00 zł</w:t>
            </w:r>
          </w:p>
        </w:tc>
        <w:tc>
          <w:tcPr>
            <w:tcW w:w="1742" w:type="dxa"/>
            <w:tcBorders>
              <w:start w:val="single" w:sz="2" w:space="0" w:color="000000"/>
              <w:bottom w:val="single" w:sz="2" w:space="0" w:color="000000"/>
              <w:end w:val="single" w:sz="2" w:space="0" w:color="000000"/>
            </w:tcBorders>
            <w:shd w:fill="5EB91E" w:val="clear"/>
            <w:vAlign w:val="center"/>
          </w:tcPr>
          <w:p>
            <w:pPr>
              <w:pStyle w:val="Zawartotabeli"/>
              <w:jc w:val="center"/>
              <w:rPr>
                <w:rFonts w:ascii="Calibri" w:hAnsi="Calibri"/>
                <w:b/>
                <w:bCs/>
              </w:rPr>
            </w:pPr>
            <w:r>
              <w:rPr>
                <w:rFonts w:ascii="Calibri" w:hAnsi="Calibri"/>
                <w:b/>
                <w:bCs/>
              </w:rPr>
              <w:t>7 500,00 zł</w:t>
            </w:r>
          </w:p>
        </w:tc>
      </w:tr>
      <w:tr>
        <w:trPr/>
        <w:tc>
          <w:tcPr>
            <w:tcW w:w="450" w:type="dxa"/>
            <w:tcBorders>
              <w:start w:val="single" w:sz="2" w:space="0" w:color="000000"/>
              <w:bottom w:val="single" w:sz="2" w:space="0" w:color="000000"/>
            </w:tcBorders>
            <w:shd w:fill="FFBF00" w:val="clear"/>
            <w:vAlign w:val="center"/>
          </w:tcPr>
          <w:p>
            <w:pPr>
              <w:pStyle w:val="Zawartotabeli"/>
              <w:jc w:val="center"/>
              <w:rPr>
                <w:rFonts w:ascii="Calibri" w:hAnsi="Calibri"/>
                <w:b/>
                <w:bCs/>
              </w:rPr>
            </w:pPr>
            <w:r>
              <w:rPr>
                <w:rFonts w:ascii="Calibri" w:hAnsi="Calibri"/>
                <w:b/>
                <w:bCs/>
              </w:rPr>
              <w:t>5.</w:t>
            </w:r>
          </w:p>
        </w:tc>
        <w:tc>
          <w:tcPr>
            <w:tcW w:w="1450" w:type="dxa"/>
            <w:tcBorders>
              <w:start w:val="single" w:sz="2" w:space="0" w:color="000000"/>
              <w:bottom w:val="single" w:sz="2" w:space="0" w:color="000000"/>
            </w:tcBorders>
            <w:shd w:fill="ACB20C" w:val="clear"/>
            <w:vAlign w:val="center"/>
          </w:tcPr>
          <w:p>
            <w:pPr>
              <w:pStyle w:val="Zawartotabeli"/>
              <w:jc w:val="center"/>
              <w:rPr>
                <w:rFonts w:ascii="Calibri" w:hAnsi="Calibri"/>
                <w:b/>
                <w:bCs/>
              </w:rPr>
            </w:pPr>
            <w:r>
              <w:rPr>
                <w:rFonts w:ascii="Calibri" w:hAnsi="Calibri"/>
                <w:b/>
                <w:bCs/>
              </w:rPr>
              <w:t>85213</w:t>
            </w:r>
          </w:p>
        </w:tc>
        <w:tc>
          <w:tcPr>
            <w:tcW w:w="3090" w:type="dxa"/>
            <w:tcBorders>
              <w:start w:val="single" w:sz="2" w:space="0" w:color="000000"/>
              <w:bottom w:val="single" w:sz="2" w:space="0" w:color="000000"/>
            </w:tcBorders>
            <w:shd w:fill="FFDE59" w:val="clear"/>
            <w:vAlign w:val="center"/>
          </w:tcPr>
          <w:p>
            <w:pPr>
              <w:pStyle w:val="Zawartotabeli"/>
              <w:jc w:val="center"/>
              <w:rPr>
                <w:rFonts w:ascii="Calibri" w:hAnsi="Calibri"/>
                <w:b/>
                <w:bCs/>
              </w:rPr>
            </w:pPr>
            <w:r>
              <w:rPr>
                <w:rFonts w:ascii="Calibri" w:hAnsi="Calibri"/>
                <w:b/>
                <w:bCs/>
              </w:rPr>
              <w:t>Składki na ubezpieczenie zdrowotne za osoby pobierające zasiłki stałe</w:t>
            </w:r>
          </w:p>
        </w:tc>
        <w:tc>
          <w:tcPr>
            <w:tcW w:w="2718" w:type="dxa"/>
            <w:tcBorders>
              <w:start w:val="single" w:sz="2" w:space="0" w:color="000000"/>
              <w:bottom w:val="single" w:sz="2" w:space="0" w:color="000000"/>
            </w:tcBorders>
            <w:shd w:fill="E6E905" w:val="clear"/>
            <w:vAlign w:val="center"/>
          </w:tcPr>
          <w:p>
            <w:pPr>
              <w:pStyle w:val="Zawartotabeli"/>
              <w:jc w:val="center"/>
              <w:rPr>
                <w:rFonts w:ascii="Calibri" w:hAnsi="Calibri"/>
              </w:rPr>
            </w:pPr>
            <w:r>
              <w:rPr>
                <w:rFonts w:ascii="Calibri" w:hAnsi="Calibri"/>
              </w:rPr>
            </w:r>
          </w:p>
        </w:tc>
        <w:tc>
          <w:tcPr>
            <w:tcW w:w="1742" w:type="dxa"/>
            <w:tcBorders>
              <w:start w:val="single" w:sz="2" w:space="0" w:color="000000"/>
              <w:bottom w:val="single" w:sz="2" w:space="0" w:color="000000"/>
              <w:end w:val="single" w:sz="2" w:space="0" w:color="000000"/>
            </w:tcBorders>
            <w:shd w:fill="5EB91E" w:val="clear"/>
            <w:vAlign w:val="center"/>
          </w:tcPr>
          <w:p>
            <w:pPr>
              <w:pStyle w:val="Zawartotabeli"/>
              <w:jc w:val="center"/>
              <w:rPr>
                <w:rFonts w:ascii="Calibri" w:hAnsi="Calibri"/>
                <w:b/>
                <w:bCs/>
              </w:rPr>
            </w:pPr>
            <w:r>
              <w:rPr>
                <w:rFonts w:ascii="Calibri" w:hAnsi="Calibri"/>
                <w:b/>
                <w:bCs/>
              </w:rPr>
              <w:t>561 579,00 zł</w:t>
            </w:r>
          </w:p>
        </w:tc>
      </w:tr>
      <w:tr>
        <w:trPr/>
        <w:tc>
          <w:tcPr>
            <w:tcW w:w="450" w:type="dxa"/>
            <w:tcBorders>
              <w:start w:val="single" w:sz="2" w:space="0" w:color="000000"/>
              <w:bottom w:val="single" w:sz="2" w:space="0" w:color="000000"/>
            </w:tcBorders>
            <w:shd w:fill="FFBF00" w:val="clear"/>
            <w:vAlign w:val="center"/>
          </w:tcPr>
          <w:p>
            <w:pPr>
              <w:pStyle w:val="Zawartotabeli"/>
              <w:jc w:val="center"/>
              <w:rPr>
                <w:rFonts w:ascii="Calibri" w:hAnsi="Calibri"/>
                <w:b/>
                <w:bCs/>
              </w:rPr>
            </w:pPr>
            <w:r>
              <w:rPr>
                <w:rFonts w:ascii="Calibri" w:hAnsi="Calibri"/>
                <w:b/>
                <w:bCs/>
              </w:rPr>
              <w:t>6.</w:t>
            </w:r>
          </w:p>
        </w:tc>
        <w:tc>
          <w:tcPr>
            <w:tcW w:w="1450" w:type="dxa"/>
            <w:tcBorders>
              <w:start w:val="single" w:sz="2" w:space="0" w:color="000000"/>
              <w:bottom w:val="single" w:sz="2" w:space="0" w:color="000000"/>
            </w:tcBorders>
            <w:shd w:fill="ACB20C" w:val="clear"/>
            <w:vAlign w:val="center"/>
          </w:tcPr>
          <w:p>
            <w:pPr>
              <w:pStyle w:val="Zawartotabeli"/>
              <w:jc w:val="center"/>
              <w:rPr>
                <w:rFonts w:ascii="Calibri" w:hAnsi="Calibri"/>
                <w:b/>
                <w:bCs/>
              </w:rPr>
            </w:pPr>
            <w:r>
              <w:rPr>
                <w:rFonts w:ascii="Calibri" w:hAnsi="Calibri"/>
                <w:b/>
                <w:bCs/>
              </w:rPr>
              <w:t>85213</w:t>
            </w:r>
          </w:p>
        </w:tc>
        <w:tc>
          <w:tcPr>
            <w:tcW w:w="3090" w:type="dxa"/>
            <w:tcBorders>
              <w:start w:val="single" w:sz="2" w:space="0" w:color="000000"/>
              <w:bottom w:val="single" w:sz="2" w:space="0" w:color="000000"/>
            </w:tcBorders>
            <w:shd w:fill="FFDE59" w:val="clear"/>
            <w:vAlign w:val="center"/>
          </w:tcPr>
          <w:p>
            <w:pPr>
              <w:pStyle w:val="Zawartotabeli"/>
              <w:jc w:val="center"/>
              <w:rPr>
                <w:rFonts w:ascii="Calibri" w:hAnsi="Calibri"/>
                <w:b/>
                <w:bCs/>
              </w:rPr>
            </w:pPr>
            <w:r>
              <w:rPr>
                <w:rFonts w:ascii="Calibri" w:hAnsi="Calibri"/>
                <w:b/>
                <w:bCs/>
              </w:rPr>
              <w:t>Fundusz Pomocy Ukrainie - składki na ubezpieczenie zdrowotne</w:t>
            </w:r>
          </w:p>
        </w:tc>
        <w:tc>
          <w:tcPr>
            <w:tcW w:w="2718" w:type="dxa"/>
            <w:tcBorders>
              <w:start w:val="single" w:sz="2" w:space="0" w:color="000000"/>
              <w:bottom w:val="single" w:sz="2" w:space="0" w:color="000000"/>
            </w:tcBorders>
            <w:shd w:fill="E6E905" w:val="clear"/>
            <w:vAlign w:val="center"/>
          </w:tcPr>
          <w:p>
            <w:pPr>
              <w:pStyle w:val="Zawartotabeli"/>
              <w:jc w:val="center"/>
              <w:rPr>
                <w:rFonts w:ascii="Calibri" w:hAnsi="Calibri"/>
              </w:rPr>
            </w:pPr>
            <w:r>
              <w:rPr>
                <w:rFonts w:ascii="Calibri" w:hAnsi="Calibri"/>
              </w:rPr>
            </w:r>
          </w:p>
        </w:tc>
        <w:tc>
          <w:tcPr>
            <w:tcW w:w="1742" w:type="dxa"/>
            <w:tcBorders>
              <w:start w:val="single" w:sz="2" w:space="0" w:color="000000"/>
              <w:bottom w:val="single" w:sz="2" w:space="0" w:color="000000"/>
              <w:end w:val="single" w:sz="2" w:space="0" w:color="000000"/>
            </w:tcBorders>
            <w:shd w:fill="5EB91E" w:val="clear"/>
            <w:vAlign w:val="center"/>
          </w:tcPr>
          <w:p>
            <w:pPr>
              <w:pStyle w:val="Zawartotabeli"/>
              <w:jc w:val="center"/>
              <w:rPr>
                <w:rFonts w:ascii="Calibri" w:hAnsi="Calibri"/>
                <w:b/>
                <w:bCs/>
              </w:rPr>
            </w:pPr>
            <w:r>
              <w:rPr>
                <w:rFonts w:ascii="Calibri" w:hAnsi="Calibri"/>
                <w:b/>
                <w:bCs/>
              </w:rPr>
              <w:t>4 116,32 zł</w:t>
            </w:r>
          </w:p>
        </w:tc>
      </w:tr>
      <w:tr>
        <w:trPr/>
        <w:tc>
          <w:tcPr>
            <w:tcW w:w="450" w:type="dxa"/>
            <w:vMerge w:val="restart"/>
            <w:tcBorders>
              <w:start w:val="single" w:sz="2" w:space="0" w:color="000000"/>
              <w:bottom w:val="single" w:sz="2" w:space="0" w:color="000000"/>
            </w:tcBorders>
            <w:shd w:fill="FFBF00" w:val="clear"/>
            <w:vAlign w:val="center"/>
          </w:tcPr>
          <w:p>
            <w:pPr>
              <w:pStyle w:val="Zawartotabeli"/>
              <w:jc w:val="center"/>
              <w:rPr>
                <w:rFonts w:ascii="Calibri" w:hAnsi="Calibri"/>
                <w:b/>
                <w:bCs/>
              </w:rPr>
            </w:pPr>
            <w:r>
              <w:rPr>
                <w:rFonts w:ascii="Calibri" w:hAnsi="Calibri"/>
                <w:b/>
                <w:bCs/>
              </w:rPr>
              <w:t>7.</w:t>
            </w:r>
          </w:p>
        </w:tc>
        <w:tc>
          <w:tcPr>
            <w:tcW w:w="1450" w:type="dxa"/>
            <w:vMerge w:val="restart"/>
            <w:tcBorders>
              <w:start w:val="single" w:sz="2" w:space="0" w:color="000000"/>
              <w:bottom w:val="single" w:sz="2" w:space="0" w:color="000000"/>
            </w:tcBorders>
            <w:shd w:fill="ACB20C" w:val="clear"/>
            <w:vAlign w:val="center"/>
          </w:tcPr>
          <w:p>
            <w:pPr>
              <w:pStyle w:val="Zawartotabeli"/>
              <w:jc w:val="center"/>
              <w:rPr>
                <w:rFonts w:ascii="Calibri" w:hAnsi="Calibri"/>
                <w:b/>
                <w:bCs/>
              </w:rPr>
            </w:pPr>
            <w:r>
              <w:rPr>
                <w:rFonts w:ascii="Calibri" w:hAnsi="Calibri"/>
                <w:b/>
                <w:bCs/>
              </w:rPr>
              <w:t>85214</w:t>
            </w:r>
          </w:p>
        </w:tc>
        <w:tc>
          <w:tcPr>
            <w:tcW w:w="3090" w:type="dxa"/>
            <w:vMerge w:val="restart"/>
            <w:tcBorders>
              <w:start w:val="single" w:sz="2" w:space="0" w:color="000000"/>
              <w:bottom w:val="single" w:sz="2" w:space="0" w:color="000000"/>
            </w:tcBorders>
            <w:shd w:fill="FFDE59" w:val="clear"/>
            <w:vAlign w:val="center"/>
          </w:tcPr>
          <w:p>
            <w:pPr>
              <w:pStyle w:val="Zawartotabeli"/>
              <w:jc w:val="center"/>
              <w:rPr>
                <w:rFonts w:ascii="Calibri" w:hAnsi="Calibri"/>
                <w:b/>
                <w:bCs/>
              </w:rPr>
            </w:pPr>
            <w:r>
              <w:rPr>
                <w:rFonts w:ascii="Calibri" w:hAnsi="Calibri"/>
                <w:b/>
                <w:bCs/>
              </w:rPr>
              <w:t>Zasiłki i pomoc w naturze</w:t>
            </w:r>
          </w:p>
        </w:tc>
        <w:tc>
          <w:tcPr>
            <w:tcW w:w="2718" w:type="dxa"/>
            <w:tcBorders>
              <w:start w:val="single" w:sz="2" w:space="0" w:color="000000"/>
              <w:bottom w:val="single" w:sz="2" w:space="0" w:color="000000"/>
            </w:tcBorders>
            <w:shd w:fill="E6E905" w:val="clear"/>
            <w:vAlign w:val="center"/>
          </w:tcPr>
          <w:p>
            <w:pPr>
              <w:pStyle w:val="Zawartotabeli"/>
              <w:jc w:val="center"/>
              <w:rPr>
                <w:rFonts w:ascii="Calibri" w:hAnsi="Calibri"/>
              </w:rPr>
            </w:pPr>
            <w:r>
              <w:rPr>
                <w:rFonts w:ascii="Calibri" w:hAnsi="Calibri"/>
              </w:rPr>
            </w:r>
          </w:p>
        </w:tc>
        <w:tc>
          <w:tcPr>
            <w:tcW w:w="1742" w:type="dxa"/>
            <w:tcBorders>
              <w:start w:val="single" w:sz="2" w:space="0" w:color="000000"/>
              <w:bottom w:val="single" w:sz="2" w:space="0" w:color="000000"/>
              <w:end w:val="single" w:sz="2" w:space="0" w:color="000000"/>
            </w:tcBorders>
            <w:shd w:fill="5EB91E" w:val="clear"/>
            <w:vAlign w:val="center"/>
          </w:tcPr>
          <w:p>
            <w:pPr>
              <w:pStyle w:val="Zawartotabeli"/>
              <w:jc w:val="center"/>
              <w:rPr>
                <w:rFonts w:ascii="Calibri" w:hAnsi="Calibri"/>
                <w:b/>
                <w:bCs/>
              </w:rPr>
            </w:pPr>
            <w:r>
              <w:rPr>
                <w:rFonts w:ascii="Calibri" w:hAnsi="Calibri"/>
                <w:b/>
                <w:bCs/>
              </w:rPr>
              <w:t>3 056 532,84 zł</w:t>
            </w:r>
          </w:p>
        </w:tc>
      </w:tr>
      <w:tr>
        <w:trPr/>
        <w:tc>
          <w:tcPr>
            <w:tcW w:w="450" w:type="dxa"/>
            <w:vMerge w:val="continue"/>
            <w:tcBorders>
              <w:start w:val="single" w:sz="2" w:space="0" w:color="000000"/>
              <w:bottom w:val="single" w:sz="2" w:space="0" w:color="000000"/>
            </w:tcBorders>
            <w:shd w:fill="FFBF00" w:val="clear"/>
            <w:vAlign w:val="center"/>
          </w:tcPr>
          <w:p>
            <w:pPr>
              <w:pStyle w:val="Normal"/>
              <w:rPr/>
            </w:pPr>
            <w:r>
              <w:rPr/>
            </w:r>
          </w:p>
        </w:tc>
        <w:tc>
          <w:tcPr>
            <w:tcW w:w="1450" w:type="dxa"/>
            <w:vMerge w:val="continue"/>
            <w:tcBorders>
              <w:start w:val="single" w:sz="2" w:space="0" w:color="000000"/>
              <w:bottom w:val="single" w:sz="2" w:space="0" w:color="000000"/>
            </w:tcBorders>
            <w:shd w:fill="ACB20C" w:val="clear"/>
            <w:vAlign w:val="center"/>
          </w:tcPr>
          <w:p>
            <w:pPr>
              <w:pStyle w:val="Normal"/>
              <w:rPr/>
            </w:pPr>
            <w:r>
              <w:rPr/>
            </w:r>
          </w:p>
        </w:tc>
        <w:tc>
          <w:tcPr>
            <w:tcW w:w="3090" w:type="dxa"/>
            <w:vMerge w:val="continue"/>
            <w:tcBorders>
              <w:start w:val="single" w:sz="2" w:space="0" w:color="000000"/>
              <w:bottom w:val="single" w:sz="2" w:space="0" w:color="000000"/>
            </w:tcBorders>
            <w:shd w:fill="FFDE59" w:val="clear"/>
            <w:vAlign w:val="center"/>
          </w:tcPr>
          <w:p>
            <w:pPr>
              <w:pStyle w:val="Normal"/>
              <w:rPr/>
            </w:pPr>
            <w:r>
              <w:rPr/>
            </w:r>
          </w:p>
        </w:tc>
        <w:tc>
          <w:tcPr>
            <w:tcW w:w="2718" w:type="dxa"/>
            <w:tcBorders>
              <w:start w:val="single" w:sz="2" w:space="0" w:color="000000"/>
              <w:bottom w:val="single" w:sz="2" w:space="0" w:color="000000"/>
            </w:tcBorders>
            <w:shd w:fill="E6E905" w:val="clear"/>
            <w:vAlign w:val="center"/>
          </w:tcPr>
          <w:p>
            <w:pPr>
              <w:pStyle w:val="Zawartotabeli"/>
              <w:jc w:val="center"/>
              <w:rPr>
                <w:rFonts w:ascii="Calibri" w:hAnsi="Calibri"/>
              </w:rPr>
            </w:pPr>
            <w:r>
              <w:rPr>
                <w:rFonts w:ascii="Calibri" w:hAnsi="Calibri"/>
              </w:rPr>
              <w:t>zasiłki okresowe</w:t>
            </w:r>
          </w:p>
        </w:tc>
        <w:tc>
          <w:tcPr>
            <w:tcW w:w="1742" w:type="dxa"/>
            <w:tcBorders>
              <w:start w:val="single" w:sz="2" w:space="0" w:color="000000"/>
              <w:bottom w:val="single" w:sz="2" w:space="0" w:color="000000"/>
              <w:end w:val="single" w:sz="2" w:space="0" w:color="000000"/>
            </w:tcBorders>
            <w:shd w:fill="5EB91E" w:val="clear"/>
            <w:vAlign w:val="center"/>
          </w:tcPr>
          <w:p>
            <w:pPr>
              <w:pStyle w:val="Zawartotabeli"/>
              <w:jc w:val="center"/>
              <w:rPr>
                <w:rFonts w:ascii="Calibri" w:hAnsi="Calibri"/>
              </w:rPr>
            </w:pPr>
            <w:r>
              <w:rPr>
                <w:rFonts w:ascii="Calibri" w:hAnsi="Calibri"/>
              </w:rPr>
              <w:t>2 496 877,40 zł</w:t>
            </w:r>
          </w:p>
        </w:tc>
      </w:tr>
      <w:tr>
        <w:trPr/>
        <w:tc>
          <w:tcPr>
            <w:tcW w:w="450" w:type="dxa"/>
            <w:vMerge w:val="continue"/>
            <w:tcBorders>
              <w:start w:val="single" w:sz="2" w:space="0" w:color="000000"/>
              <w:bottom w:val="single" w:sz="2" w:space="0" w:color="000000"/>
            </w:tcBorders>
            <w:shd w:fill="FFBF00" w:val="clear"/>
            <w:vAlign w:val="center"/>
          </w:tcPr>
          <w:p>
            <w:pPr>
              <w:pStyle w:val="Normal"/>
              <w:rPr/>
            </w:pPr>
            <w:r>
              <w:rPr/>
            </w:r>
          </w:p>
        </w:tc>
        <w:tc>
          <w:tcPr>
            <w:tcW w:w="1450" w:type="dxa"/>
            <w:vMerge w:val="continue"/>
            <w:tcBorders>
              <w:start w:val="single" w:sz="2" w:space="0" w:color="000000"/>
              <w:bottom w:val="single" w:sz="2" w:space="0" w:color="000000"/>
            </w:tcBorders>
            <w:shd w:fill="ACB20C" w:val="clear"/>
            <w:vAlign w:val="center"/>
          </w:tcPr>
          <w:p>
            <w:pPr>
              <w:pStyle w:val="Normal"/>
              <w:rPr/>
            </w:pPr>
            <w:r>
              <w:rPr/>
            </w:r>
          </w:p>
        </w:tc>
        <w:tc>
          <w:tcPr>
            <w:tcW w:w="3090" w:type="dxa"/>
            <w:vMerge w:val="continue"/>
            <w:tcBorders>
              <w:start w:val="single" w:sz="2" w:space="0" w:color="000000"/>
              <w:bottom w:val="single" w:sz="2" w:space="0" w:color="000000"/>
            </w:tcBorders>
            <w:shd w:fill="FFDE59" w:val="clear"/>
            <w:vAlign w:val="center"/>
          </w:tcPr>
          <w:p>
            <w:pPr>
              <w:pStyle w:val="Normal"/>
              <w:rPr/>
            </w:pPr>
            <w:r>
              <w:rPr/>
            </w:r>
          </w:p>
        </w:tc>
        <w:tc>
          <w:tcPr>
            <w:tcW w:w="2718" w:type="dxa"/>
            <w:tcBorders>
              <w:start w:val="single" w:sz="2" w:space="0" w:color="000000"/>
              <w:bottom w:val="single" w:sz="2" w:space="0" w:color="000000"/>
            </w:tcBorders>
            <w:shd w:fill="E6E905" w:val="clear"/>
            <w:vAlign w:val="center"/>
          </w:tcPr>
          <w:p>
            <w:pPr>
              <w:pStyle w:val="Zawartotabeli"/>
              <w:jc w:val="center"/>
              <w:rPr>
                <w:rFonts w:ascii="Calibri" w:hAnsi="Calibri"/>
              </w:rPr>
            </w:pPr>
            <w:r>
              <w:rPr>
                <w:rFonts w:ascii="Calibri" w:hAnsi="Calibri"/>
              </w:rPr>
              <w:t>zasiłki celowe</w:t>
            </w:r>
          </w:p>
        </w:tc>
        <w:tc>
          <w:tcPr>
            <w:tcW w:w="1742" w:type="dxa"/>
            <w:tcBorders>
              <w:start w:val="single" w:sz="2" w:space="0" w:color="000000"/>
              <w:bottom w:val="single" w:sz="2" w:space="0" w:color="000000"/>
              <w:end w:val="single" w:sz="2" w:space="0" w:color="000000"/>
            </w:tcBorders>
            <w:shd w:fill="5EB91E" w:val="clear"/>
            <w:vAlign w:val="center"/>
          </w:tcPr>
          <w:p>
            <w:pPr>
              <w:pStyle w:val="Zawartotabeli"/>
              <w:jc w:val="center"/>
              <w:rPr>
                <w:rFonts w:ascii="Calibri" w:hAnsi="Calibri"/>
              </w:rPr>
            </w:pPr>
            <w:r>
              <w:rPr>
                <w:rFonts w:ascii="Calibri" w:hAnsi="Calibri"/>
              </w:rPr>
              <w:t>334 963,94 zł</w:t>
            </w:r>
          </w:p>
        </w:tc>
      </w:tr>
      <w:tr>
        <w:trPr/>
        <w:tc>
          <w:tcPr>
            <w:tcW w:w="450" w:type="dxa"/>
            <w:vMerge w:val="continue"/>
            <w:tcBorders>
              <w:start w:val="single" w:sz="2" w:space="0" w:color="000000"/>
              <w:bottom w:val="single" w:sz="2" w:space="0" w:color="000000"/>
            </w:tcBorders>
            <w:shd w:fill="FFBF00" w:val="clear"/>
            <w:vAlign w:val="center"/>
          </w:tcPr>
          <w:p>
            <w:pPr>
              <w:pStyle w:val="Normal"/>
              <w:rPr/>
            </w:pPr>
            <w:r>
              <w:rPr/>
            </w:r>
          </w:p>
        </w:tc>
        <w:tc>
          <w:tcPr>
            <w:tcW w:w="1450" w:type="dxa"/>
            <w:vMerge w:val="continue"/>
            <w:tcBorders>
              <w:start w:val="single" w:sz="2" w:space="0" w:color="000000"/>
              <w:bottom w:val="single" w:sz="2" w:space="0" w:color="000000"/>
            </w:tcBorders>
            <w:shd w:fill="ACB20C" w:val="clear"/>
            <w:vAlign w:val="center"/>
          </w:tcPr>
          <w:p>
            <w:pPr>
              <w:pStyle w:val="Normal"/>
              <w:rPr/>
            </w:pPr>
            <w:r>
              <w:rPr/>
            </w:r>
          </w:p>
        </w:tc>
        <w:tc>
          <w:tcPr>
            <w:tcW w:w="3090" w:type="dxa"/>
            <w:vMerge w:val="continue"/>
            <w:tcBorders>
              <w:start w:val="single" w:sz="2" w:space="0" w:color="000000"/>
              <w:bottom w:val="single" w:sz="2" w:space="0" w:color="000000"/>
            </w:tcBorders>
            <w:shd w:fill="FFDE59" w:val="clear"/>
            <w:vAlign w:val="center"/>
          </w:tcPr>
          <w:p>
            <w:pPr>
              <w:pStyle w:val="Normal"/>
              <w:rPr/>
            </w:pPr>
            <w:r>
              <w:rPr/>
            </w:r>
          </w:p>
        </w:tc>
        <w:tc>
          <w:tcPr>
            <w:tcW w:w="2718" w:type="dxa"/>
            <w:tcBorders>
              <w:start w:val="single" w:sz="2" w:space="0" w:color="000000"/>
              <w:bottom w:val="single" w:sz="2" w:space="0" w:color="000000"/>
            </w:tcBorders>
            <w:shd w:fill="E6E905" w:val="clear"/>
            <w:vAlign w:val="center"/>
          </w:tcPr>
          <w:p>
            <w:pPr>
              <w:pStyle w:val="Zawartotabeli"/>
              <w:jc w:val="center"/>
              <w:rPr>
                <w:rFonts w:ascii="Calibri" w:hAnsi="Calibri"/>
              </w:rPr>
            </w:pPr>
            <w:r>
              <w:rPr>
                <w:rFonts w:ascii="Calibri" w:hAnsi="Calibri"/>
              </w:rPr>
              <w:t>zasiłki celowe specjalne</w:t>
            </w:r>
          </w:p>
        </w:tc>
        <w:tc>
          <w:tcPr>
            <w:tcW w:w="1742" w:type="dxa"/>
            <w:tcBorders>
              <w:start w:val="single" w:sz="2" w:space="0" w:color="000000"/>
              <w:bottom w:val="single" w:sz="2" w:space="0" w:color="000000"/>
              <w:end w:val="single" w:sz="2" w:space="0" w:color="000000"/>
            </w:tcBorders>
            <w:shd w:fill="5EB91E" w:val="clear"/>
            <w:vAlign w:val="center"/>
          </w:tcPr>
          <w:p>
            <w:pPr>
              <w:pStyle w:val="Zawartotabeli"/>
              <w:jc w:val="center"/>
              <w:rPr>
                <w:rFonts w:ascii="Calibri" w:hAnsi="Calibri"/>
              </w:rPr>
            </w:pPr>
            <w:r>
              <w:rPr>
                <w:rFonts w:ascii="Calibri" w:hAnsi="Calibri"/>
              </w:rPr>
              <w:t>84 894,16 zł</w:t>
            </w:r>
          </w:p>
        </w:tc>
      </w:tr>
      <w:tr>
        <w:trPr/>
        <w:tc>
          <w:tcPr>
            <w:tcW w:w="450" w:type="dxa"/>
            <w:vMerge w:val="continue"/>
            <w:tcBorders>
              <w:start w:val="single" w:sz="2" w:space="0" w:color="000000"/>
              <w:bottom w:val="single" w:sz="2" w:space="0" w:color="000000"/>
            </w:tcBorders>
            <w:shd w:fill="FFBF00" w:val="clear"/>
            <w:vAlign w:val="center"/>
          </w:tcPr>
          <w:p>
            <w:pPr>
              <w:pStyle w:val="Normal"/>
              <w:rPr/>
            </w:pPr>
            <w:r>
              <w:rPr/>
            </w:r>
          </w:p>
        </w:tc>
        <w:tc>
          <w:tcPr>
            <w:tcW w:w="1450" w:type="dxa"/>
            <w:vMerge w:val="continue"/>
            <w:tcBorders>
              <w:start w:val="single" w:sz="2" w:space="0" w:color="000000"/>
              <w:bottom w:val="single" w:sz="2" w:space="0" w:color="000000"/>
            </w:tcBorders>
            <w:shd w:fill="ACB20C" w:val="clear"/>
            <w:vAlign w:val="center"/>
          </w:tcPr>
          <w:p>
            <w:pPr>
              <w:pStyle w:val="Normal"/>
              <w:rPr/>
            </w:pPr>
            <w:r>
              <w:rPr/>
            </w:r>
          </w:p>
        </w:tc>
        <w:tc>
          <w:tcPr>
            <w:tcW w:w="3090" w:type="dxa"/>
            <w:vMerge w:val="continue"/>
            <w:tcBorders>
              <w:start w:val="single" w:sz="2" w:space="0" w:color="000000"/>
              <w:bottom w:val="single" w:sz="2" w:space="0" w:color="000000"/>
            </w:tcBorders>
            <w:shd w:fill="FFDE59" w:val="clear"/>
            <w:vAlign w:val="center"/>
          </w:tcPr>
          <w:p>
            <w:pPr>
              <w:pStyle w:val="Normal"/>
              <w:rPr/>
            </w:pPr>
            <w:r>
              <w:rPr/>
            </w:r>
          </w:p>
        </w:tc>
        <w:tc>
          <w:tcPr>
            <w:tcW w:w="2718" w:type="dxa"/>
            <w:tcBorders>
              <w:start w:val="single" w:sz="2" w:space="0" w:color="000000"/>
              <w:bottom w:val="single" w:sz="2" w:space="0" w:color="000000"/>
            </w:tcBorders>
            <w:shd w:fill="E6E905" w:val="clear"/>
            <w:vAlign w:val="center"/>
          </w:tcPr>
          <w:p>
            <w:pPr>
              <w:pStyle w:val="Zawartotabeli"/>
              <w:jc w:val="center"/>
              <w:rPr>
                <w:rFonts w:ascii="Calibri" w:hAnsi="Calibri"/>
              </w:rPr>
            </w:pPr>
            <w:r>
              <w:rPr>
                <w:rFonts w:ascii="Calibri" w:hAnsi="Calibri"/>
              </w:rPr>
              <w:t>schronisko</w:t>
            </w:r>
          </w:p>
        </w:tc>
        <w:tc>
          <w:tcPr>
            <w:tcW w:w="1742" w:type="dxa"/>
            <w:tcBorders>
              <w:start w:val="single" w:sz="2" w:space="0" w:color="000000"/>
              <w:bottom w:val="single" w:sz="2" w:space="0" w:color="000000"/>
              <w:end w:val="single" w:sz="2" w:space="0" w:color="000000"/>
            </w:tcBorders>
            <w:shd w:fill="5EB91E" w:val="clear"/>
            <w:vAlign w:val="center"/>
          </w:tcPr>
          <w:p>
            <w:pPr>
              <w:pStyle w:val="Zawartotabeli"/>
              <w:jc w:val="center"/>
              <w:rPr>
                <w:rFonts w:ascii="Calibri" w:hAnsi="Calibri"/>
              </w:rPr>
            </w:pPr>
            <w:r>
              <w:rPr>
                <w:rFonts w:ascii="Calibri" w:hAnsi="Calibri"/>
              </w:rPr>
              <w:t>102 252,36 zł</w:t>
            </w:r>
          </w:p>
        </w:tc>
      </w:tr>
      <w:tr>
        <w:trPr/>
        <w:tc>
          <w:tcPr>
            <w:tcW w:w="450" w:type="dxa"/>
            <w:vMerge w:val="continue"/>
            <w:tcBorders>
              <w:start w:val="single" w:sz="2" w:space="0" w:color="000000"/>
              <w:bottom w:val="single" w:sz="2" w:space="0" w:color="000000"/>
            </w:tcBorders>
            <w:shd w:fill="FFBF00" w:val="clear"/>
            <w:vAlign w:val="center"/>
          </w:tcPr>
          <w:p>
            <w:pPr>
              <w:pStyle w:val="Normal"/>
              <w:rPr/>
            </w:pPr>
            <w:r>
              <w:rPr/>
            </w:r>
          </w:p>
        </w:tc>
        <w:tc>
          <w:tcPr>
            <w:tcW w:w="1450" w:type="dxa"/>
            <w:vMerge w:val="continue"/>
            <w:tcBorders>
              <w:start w:val="single" w:sz="2" w:space="0" w:color="000000"/>
              <w:bottom w:val="single" w:sz="2" w:space="0" w:color="000000"/>
            </w:tcBorders>
            <w:shd w:fill="ACB20C" w:val="clear"/>
            <w:vAlign w:val="center"/>
          </w:tcPr>
          <w:p>
            <w:pPr>
              <w:pStyle w:val="Normal"/>
              <w:rPr/>
            </w:pPr>
            <w:r>
              <w:rPr/>
            </w:r>
          </w:p>
        </w:tc>
        <w:tc>
          <w:tcPr>
            <w:tcW w:w="3090" w:type="dxa"/>
            <w:vMerge w:val="continue"/>
            <w:tcBorders>
              <w:start w:val="single" w:sz="2" w:space="0" w:color="000000"/>
              <w:bottom w:val="single" w:sz="2" w:space="0" w:color="000000"/>
            </w:tcBorders>
            <w:shd w:fill="FFDE59" w:val="clear"/>
            <w:vAlign w:val="center"/>
          </w:tcPr>
          <w:p>
            <w:pPr>
              <w:pStyle w:val="Normal"/>
              <w:rPr/>
            </w:pPr>
            <w:r>
              <w:rPr/>
            </w:r>
          </w:p>
        </w:tc>
        <w:tc>
          <w:tcPr>
            <w:tcW w:w="2718" w:type="dxa"/>
            <w:tcBorders>
              <w:start w:val="single" w:sz="2" w:space="0" w:color="000000"/>
              <w:bottom w:val="single" w:sz="2" w:space="0" w:color="000000"/>
            </w:tcBorders>
            <w:shd w:fill="E6E905" w:val="clear"/>
            <w:vAlign w:val="center"/>
          </w:tcPr>
          <w:p>
            <w:pPr>
              <w:pStyle w:val="Zawartotabeli"/>
              <w:jc w:val="center"/>
              <w:rPr>
                <w:rFonts w:ascii="Calibri" w:hAnsi="Calibri"/>
              </w:rPr>
            </w:pPr>
            <w:r>
              <w:rPr>
                <w:rFonts w:ascii="Calibri" w:hAnsi="Calibri"/>
              </w:rPr>
              <w:t>magazyn PCK</w:t>
            </w:r>
          </w:p>
        </w:tc>
        <w:tc>
          <w:tcPr>
            <w:tcW w:w="1742" w:type="dxa"/>
            <w:tcBorders>
              <w:start w:val="single" w:sz="2" w:space="0" w:color="000000"/>
              <w:bottom w:val="single" w:sz="2" w:space="0" w:color="000000"/>
              <w:end w:val="single" w:sz="2" w:space="0" w:color="000000"/>
            </w:tcBorders>
            <w:shd w:fill="5EB91E" w:val="clear"/>
            <w:vAlign w:val="center"/>
          </w:tcPr>
          <w:p>
            <w:pPr>
              <w:pStyle w:val="Zawartotabeli"/>
              <w:jc w:val="center"/>
              <w:rPr>
                <w:rFonts w:ascii="Calibri" w:hAnsi="Calibri"/>
              </w:rPr>
            </w:pPr>
            <w:r>
              <w:rPr>
                <w:rFonts w:ascii="Calibri" w:hAnsi="Calibri"/>
              </w:rPr>
              <w:t>13 044,98 zł</w:t>
            </w:r>
          </w:p>
        </w:tc>
      </w:tr>
      <w:tr>
        <w:trPr/>
        <w:tc>
          <w:tcPr>
            <w:tcW w:w="450" w:type="dxa"/>
            <w:vMerge w:val="continue"/>
            <w:tcBorders>
              <w:start w:val="single" w:sz="2" w:space="0" w:color="000000"/>
              <w:bottom w:val="single" w:sz="2" w:space="0" w:color="000000"/>
            </w:tcBorders>
            <w:shd w:fill="FFBF00" w:val="clear"/>
            <w:vAlign w:val="center"/>
          </w:tcPr>
          <w:p>
            <w:pPr>
              <w:pStyle w:val="Normal"/>
              <w:rPr/>
            </w:pPr>
            <w:r>
              <w:rPr/>
            </w:r>
          </w:p>
        </w:tc>
        <w:tc>
          <w:tcPr>
            <w:tcW w:w="1450" w:type="dxa"/>
            <w:vMerge w:val="continue"/>
            <w:tcBorders>
              <w:start w:val="single" w:sz="2" w:space="0" w:color="000000"/>
              <w:bottom w:val="single" w:sz="2" w:space="0" w:color="000000"/>
            </w:tcBorders>
            <w:shd w:fill="ACB20C" w:val="clear"/>
            <w:vAlign w:val="center"/>
          </w:tcPr>
          <w:p>
            <w:pPr>
              <w:pStyle w:val="Normal"/>
              <w:rPr/>
            </w:pPr>
            <w:r>
              <w:rPr/>
            </w:r>
          </w:p>
        </w:tc>
        <w:tc>
          <w:tcPr>
            <w:tcW w:w="3090" w:type="dxa"/>
            <w:vMerge w:val="continue"/>
            <w:tcBorders>
              <w:start w:val="single" w:sz="2" w:space="0" w:color="000000"/>
              <w:bottom w:val="single" w:sz="2" w:space="0" w:color="000000"/>
            </w:tcBorders>
            <w:shd w:fill="FFDE59" w:val="clear"/>
            <w:vAlign w:val="center"/>
          </w:tcPr>
          <w:p>
            <w:pPr>
              <w:pStyle w:val="Normal"/>
              <w:rPr/>
            </w:pPr>
            <w:r>
              <w:rPr/>
            </w:r>
          </w:p>
        </w:tc>
        <w:tc>
          <w:tcPr>
            <w:tcW w:w="2718" w:type="dxa"/>
            <w:tcBorders>
              <w:start w:val="single" w:sz="2" w:space="0" w:color="000000"/>
              <w:bottom w:val="single" w:sz="2" w:space="0" w:color="000000"/>
            </w:tcBorders>
            <w:shd w:fill="E6E905" w:val="clear"/>
            <w:vAlign w:val="center"/>
          </w:tcPr>
          <w:p>
            <w:pPr>
              <w:pStyle w:val="Zawartotabeli"/>
              <w:jc w:val="center"/>
              <w:rPr>
                <w:rFonts w:ascii="Calibri" w:hAnsi="Calibri"/>
              </w:rPr>
            </w:pPr>
            <w:r>
              <w:rPr>
                <w:rFonts w:ascii="Calibri" w:hAnsi="Calibri"/>
              </w:rPr>
              <w:t>sprawianie pogrzebu</w:t>
            </w:r>
          </w:p>
        </w:tc>
        <w:tc>
          <w:tcPr>
            <w:tcW w:w="1742" w:type="dxa"/>
            <w:tcBorders>
              <w:start w:val="single" w:sz="2" w:space="0" w:color="000000"/>
              <w:bottom w:val="single" w:sz="2" w:space="0" w:color="000000"/>
              <w:end w:val="single" w:sz="2" w:space="0" w:color="000000"/>
            </w:tcBorders>
            <w:shd w:fill="5EB91E" w:val="clear"/>
            <w:vAlign w:val="center"/>
          </w:tcPr>
          <w:p>
            <w:pPr>
              <w:pStyle w:val="Zawartotabeli"/>
              <w:jc w:val="center"/>
              <w:rPr>
                <w:rFonts w:ascii="Calibri" w:hAnsi="Calibri"/>
              </w:rPr>
            </w:pPr>
            <w:r>
              <w:rPr>
                <w:rFonts w:ascii="Calibri" w:hAnsi="Calibri"/>
              </w:rPr>
              <w:t>24 500,00 zł</w:t>
            </w:r>
          </w:p>
        </w:tc>
      </w:tr>
      <w:tr>
        <w:trPr/>
        <w:tc>
          <w:tcPr>
            <w:tcW w:w="450" w:type="dxa"/>
            <w:tcBorders>
              <w:start w:val="single" w:sz="2" w:space="0" w:color="000000"/>
              <w:bottom w:val="single" w:sz="2" w:space="0" w:color="000000"/>
            </w:tcBorders>
            <w:shd w:fill="FFBF00" w:val="clear"/>
            <w:vAlign w:val="center"/>
          </w:tcPr>
          <w:p>
            <w:pPr>
              <w:pStyle w:val="Zawartotabeli"/>
              <w:jc w:val="center"/>
              <w:rPr>
                <w:rFonts w:ascii="Calibri" w:hAnsi="Calibri"/>
                <w:b/>
                <w:bCs/>
              </w:rPr>
            </w:pPr>
            <w:r>
              <w:rPr>
                <w:rFonts w:ascii="Calibri" w:hAnsi="Calibri"/>
                <w:b/>
                <w:bCs/>
              </w:rPr>
              <w:t>8.</w:t>
            </w:r>
          </w:p>
        </w:tc>
        <w:tc>
          <w:tcPr>
            <w:tcW w:w="1450" w:type="dxa"/>
            <w:tcBorders>
              <w:start w:val="single" w:sz="2" w:space="0" w:color="000000"/>
              <w:bottom w:val="single" w:sz="2" w:space="0" w:color="000000"/>
            </w:tcBorders>
            <w:shd w:fill="ACB20C" w:val="clear"/>
            <w:vAlign w:val="center"/>
          </w:tcPr>
          <w:p>
            <w:pPr>
              <w:pStyle w:val="Zawartotabeli"/>
              <w:jc w:val="center"/>
              <w:rPr>
                <w:rFonts w:ascii="Calibri" w:hAnsi="Calibri"/>
                <w:b/>
                <w:bCs/>
              </w:rPr>
            </w:pPr>
            <w:r>
              <w:rPr>
                <w:rFonts w:ascii="Calibri" w:hAnsi="Calibri"/>
                <w:b/>
                <w:bCs/>
              </w:rPr>
              <w:t>85214</w:t>
            </w:r>
          </w:p>
        </w:tc>
        <w:tc>
          <w:tcPr>
            <w:tcW w:w="3090" w:type="dxa"/>
            <w:tcBorders>
              <w:start w:val="single" w:sz="2" w:space="0" w:color="000000"/>
              <w:bottom w:val="single" w:sz="2" w:space="0" w:color="000000"/>
            </w:tcBorders>
            <w:shd w:fill="FFDE59" w:val="clear"/>
            <w:vAlign w:val="center"/>
          </w:tcPr>
          <w:p>
            <w:pPr>
              <w:pStyle w:val="Zawartotabeli"/>
              <w:jc w:val="center"/>
              <w:rPr>
                <w:rFonts w:ascii="Calibri" w:hAnsi="Calibri"/>
                <w:b/>
                <w:bCs/>
              </w:rPr>
            </w:pPr>
            <w:r>
              <w:rPr>
                <w:rFonts w:ascii="Calibri" w:hAnsi="Calibri"/>
                <w:b/>
                <w:bCs/>
              </w:rPr>
              <w:t>Fundusz Pomocy Ukrainie</w:t>
            </w:r>
          </w:p>
        </w:tc>
        <w:tc>
          <w:tcPr>
            <w:tcW w:w="2718" w:type="dxa"/>
            <w:tcBorders>
              <w:start w:val="single" w:sz="2" w:space="0" w:color="000000"/>
              <w:bottom w:val="single" w:sz="2" w:space="0" w:color="000000"/>
            </w:tcBorders>
            <w:shd w:fill="E6E905" w:val="clear"/>
            <w:vAlign w:val="center"/>
          </w:tcPr>
          <w:p>
            <w:pPr>
              <w:pStyle w:val="Zawartotabeli"/>
              <w:jc w:val="center"/>
              <w:rPr>
                <w:rFonts w:ascii="Calibri" w:hAnsi="Calibri"/>
              </w:rPr>
            </w:pPr>
            <w:r>
              <w:rPr>
                <w:rFonts w:ascii="Calibri" w:hAnsi="Calibri"/>
              </w:rPr>
              <w:t>zasiłki okresowe</w:t>
            </w:r>
          </w:p>
        </w:tc>
        <w:tc>
          <w:tcPr>
            <w:tcW w:w="1742" w:type="dxa"/>
            <w:tcBorders>
              <w:start w:val="single" w:sz="2" w:space="0" w:color="000000"/>
              <w:bottom w:val="single" w:sz="2" w:space="0" w:color="000000"/>
              <w:end w:val="single" w:sz="2" w:space="0" w:color="000000"/>
            </w:tcBorders>
            <w:shd w:fill="5EB91E" w:val="clear"/>
            <w:vAlign w:val="center"/>
          </w:tcPr>
          <w:p>
            <w:pPr>
              <w:pStyle w:val="Zawartotabeli"/>
              <w:jc w:val="center"/>
              <w:rPr>
                <w:rFonts w:ascii="Calibri" w:hAnsi="Calibri"/>
                <w:b/>
                <w:bCs/>
              </w:rPr>
            </w:pPr>
            <w:r>
              <w:rPr>
                <w:rFonts w:ascii="Calibri" w:hAnsi="Calibri"/>
                <w:b/>
                <w:bCs/>
              </w:rPr>
              <w:t>68 857,94 zł</w:t>
            </w:r>
          </w:p>
        </w:tc>
      </w:tr>
      <w:tr>
        <w:trPr>
          <w:trHeight w:val="351" w:hRule="atLeast"/>
        </w:trPr>
        <w:tc>
          <w:tcPr>
            <w:tcW w:w="450" w:type="dxa"/>
            <w:tcBorders>
              <w:start w:val="single" w:sz="2" w:space="0" w:color="000000"/>
              <w:bottom w:val="single" w:sz="2" w:space="0" w:color="000000"/>
            </w:tcBorders>
            <w:shd w:fill="FFBF00" w:val="clear"/>
            <w:vAlign w:val="center"/>
          </w:tcPr>
          <w:p>
            <w:pPr>
              <w:pStyle w:val="Zawartotabeli"/>
              <w:jc w:val="center"/>
              <w:rPr>
                <w:rFonts w:ascii="Calibri" w:hAnsi="Calibri"/>
                <w:b/>
                <w:bCs/>
              </w:rPr>
            </w:pPr>
            <w:r>
              <w:rPr>
                <w:rFonts w:ascii="Calibri" w:hAnsi="Calibri"/>
                <w:b/>
                <w:bCs/>
              </w:rPr>
              <w:t>9.</w:t>
            </w:r>
          </w:p>
        </w:tc>
        <w:tc>
          <w:tcPr>
            <w:tcW w:w="1450" w:type="dxa"/>
            <w:tcBorders>
              <w:start w:val="single" w:sz="2" w:space="0" w:color="000000"/>
              <w:bottom w:val="single" w:sz="2" w:space="0" w:color="000000"/>
            </w:tcBorders>
            <w:shd w:fill="ACB20C" w:val="clear"/>
            <w:vAlign w:val="center"/>
          </w:tcPr>
          <w:p>
            <w:pPr>
              <w:pStyle w:val="Zawartotabeli"/>
              <w:jc w:val="center"/>
              <w:rPr>
                <w:rFonts w:ascii="Calibri" w:hAnsi="Calibri"/>
                <w:b/>
                <w:bCs/>
              </w:rPr>
            </w:pPr>
            <w:r>
              <w:rPr>
                <w:rFonts w:ascii="Calibri" w:hAnsi="Calibri"/>
                <w:b/>
                <w:bCs/>
              </w:rPr>
              <w:t>85215</w:t>
            </w:r>
          </w:p>
        </w:tc>
        <w:tc>
          <w:tcPr>
            <w:tcW w:w="3090" w:type="dxa"/>
            <w:tcBorders>
              <w:start w:val="single" w:sz="2" w:space="0" w:color="000000"/>
              <w:bottom w:val="single" w:sz="2" w:space="0" w:color="000000"/>
            </w:tcBorders>
            <w:shd w:fill="FFDE59" w:val="clear"/>
            <w:vAlign w:val="center"/>
          </w:tcPr>
          <w:p>
            <w:pPr>
              <w:pStyle w:val="Zawartotabeli"/>
              <w:jc w:val="center"/>
              <w:rPr>
                <w:rFonts w:ascii="Calibri" w:hAnsi="Calibri"/>
                <w:b/>
                <w:bCs/>
              </w:rPr>
            </w:pPr>
            <w:r>
              <w:rPr>
                <w:rFonts w:ascii="Calibri" w:hAnsi="Calibri"/>
                <w:b/>
                <w:bCs/>
              </w:rPr>
              <w:t>Dodatki mieszkaniowe</w:t>
            </w:r>
          </w:p>
        </w:tc>
        <w:tc>
          <w:tcPr>
            <w:tcW w:w="2718" w:type="dxa"/>
            <w:tcBorders>
              <w:start w:val="single" w:sz="2" w:space="0" w:color="000000"/>
              <w:bottom w:val="single" w:sz="2" w:space="0" w:color="000000"/>
            </w:tcBorders>
            <w:shd w:fill="E6E905" w:val="clear"/>
            <w:vAlign w:val="center"/>
          </w:tcPr>
          <w:p>
            <w:pPr>
              <w:pStyle w:val="Zawartotabeli"/>
              <w:jc w:val="center"/>
              <w:rPr>
                <w:rFonts w:ascii="Calibri" w:hAnsi="Calibri"/>
              </w:rPr>
            </w:pPr>
            <w:r>
              <w:rPr>
                <w:rFonts w:ascii="Calibri" w:hAnsi="Calibri"/>
              </w:rPr>
            </w:r>
          </w:p>
        </w:tc>
        <w:tc>
          <w:tcPr>
            <w:tcW w:w="1742" w:type="dxa"/>
            <w:tcBorders>
              <w:start w:val="single" w:sz="2" w:space="0" w:color="000000"/>
              <w:bottom w:val="single" w:sz="2" w:space="0" w:color="000000"/>
              <w:end w:val="single" w:sz="2" w:space="0" w:color="000000"/>
            </w:tcBorders>
            <w:shd w:fill="5EB91E" w:val="clear"/>
            <w:vAlign w:val="center"/>
          </w:tcPr>
          <w:p>
            <w:pPr>
              <w:pStyle w:val="Zawartotabeli"/>
              <w:jc w:val="center"/>
              <w:rPr>
                <w:rFonts w:ascii="Calibri" w:hAnsi="Calibri"/>
                <w:b/>
                <w:bCs/>
              </w:rPr>
            </w:pPr>
            <w:r>
              <w:rPr>
                <w:rFonts w:ascii="Calibri" w:hAnsi="Calibri"/>
                <w:b/>
                <w:bCs/>
              </w:rPr>
              <w:t>3 250 324,01 zł</w:t>
            </w:r>
          </w:p>
        </w:tc>
      </w:tr>
      <w:tr>
        <w:trPr/>
        <w:tc>
          <w:tcPr>
            <w:tcW w:w="450" w:type="dxa"/>
            <w:tcBorders>
              <w:start w:val="single" w:sz="2" w:space="0" w:color="000000"/>
              <w:bottom w:val="single" w:sz="2" w:space="0" w:color="000000"/>
            </w:tcBorders>
            <w:shd w:fill="FFBF00" w:val="clear"/>
            <w:vAlign w:val="center"/>
          </w:tcPr>
          <w:p>
            <w:pPr>
              <w:pStyle w:val="Zawartotabeli"/>
              <w:jc w:val="center"/>
              <w:rPr>
                <w:rFonts w:ascii="Calibri" w:hAnsi="Calibri"/>
                <w:b/>
                <w:bCs/>
              </w:rPr>
            </w:pPr>
            <w:r>
              <w:rPr>
                <w:rFonts w:ascii="Calibri" w:hAnsi="Calibri"/>
                <w:b/>
                <w:bCs/>
              </w:rPr>
              <w:t>10.</w:t>
            </w:r>
          </w:p>
        </w:tc>
        <w:tc>
          <w:tcPr>
            <w:tcW w:w="1450" w:type="dxa"/>
            <w:tcBorders>
              <w:start w:val="single" w:sz="2" w:space="0" w:color="000000"/>
              <w:bottom w:val="single" w:sz="2" w:space="0" w:color="000000"/>
            </w:tcBorders>
            <w:shd w:fill="ACB20C" w:val="clear"/>
            <w:vAlign w:val="center"/>
          </w:tcPr>
          <w:p>
            <w:pPr>
              <w:pStyle w:val="Zawartotabeli"/>
              <w:jc w:val="center"/>
              <w:rPr>
                <w:rFonts w:ascii="Calibri" w:hAnsi="Calibri"/>
                <w:b/>
                <w:bCs/>
              </w:rPr>
            </w:pPr>
            <w:r>
              <w:rPr>
                <w:rFonts w:ascii="Calibri" w:hAnsi="Calibri"/>
                <w:b/>
                <w:bCs/>
              </w:rPr>
              <w:t>85216</w:t>
            </w:r>
          </w:p>
        </w:tc>
        <w:tc>
          <w:tcPr>
            <w:tcW w:w="3090" w:type="dxa"/>
            <w:tcBorders>
              <w:start w:val="single" w:sz="2" w:space="0" w:color="000000"/>
              <w:bottom w:val="single" w:sz="2" w:space="0" w:color="000000"/>
            </w:tcBorders>
            <w:shd w:fill="FFDE59" w:val="clear"/>
            <w:vAlign w:val="center"/>
          </w:tcPr>
          <w:p>
            <w:pPr>
              <w:pStyle w:val="Zawartotabeli"/>
              <w:jc w:val="center"/>
              <w:rPr>
                <w:rFonts w:ascii="Calibri" w:hAnsi="Calibri"/>
                <w:b/>
                <w:bCs/>
              </w:rPr>
            </w:pPr>
            <w:r>
              <w:rPr>
                <w:rFonts w:ascii="Calibri" w:hAnsi="Calibri"/>
                <w:b/>
                <w:bCs/>
              </w:rPr>
              <w:t>Zasiłki stałe</w:t>
            </w:r>
          </w:p>
        </w:tc>
        <w:tc>
          <w:tcPr>
            <w:tcW w:w="2718" w:type="dxa"/>
            <w:tcBorders>
              <w:start w:val="single" w:sz="2" w:space="0" w:color="000000"/>
              <w:bottom w:val="single" w:sz="2" w:space="0" w:color="000000"/>
            </w:tcBorders>
            <w:shd w:fill="E6E905" w:val="clear"/>
            <w:vAlign w:val="center"/>
          </w:tcPr>
          <w:p>
            <w:pPr>
              <w:pStyle w:val="Zawartotabeli"/>
              <w:jc w:val="center"/>
              <w:rPr>
                <w:rFonts w:ascii="Calibri" w:hAnsi="Calibri"/>
              </w:rPr>
            </w:pPr>
            <w:r>
              <w:rPr>
                <w:rFonts w:ascii="Calibri" w:hAnsi="Calibri"/>
              </w:rPr>
            </w:r>
          </w:p>
        </w:tc>
        <w:tc>
          <w:tcPr>
            <w:tcW w:w="1742" w:type="dxa"/>
            <w:tcBorders>
              <w:start w:val="single" w:sz="2" w:space="0" w:color="000000"/>
              <w:bottom w:val="single" w:sz="2" w:space="0" w:color="000000"/>
              <w:end w:val="single" w:sz="2" w:space="0" w:color="000000"/>
            </w:tcBorders>
            <w:shd w:fill="5EB91E" w:val="clear"/>
            <w:vAlign w:val="center"/>
          </w:tcPr>
          <w:p>
            <w:pPr>
              <w:pStyle w:val="Zawartotabeli"/>
              <w:jc w:val="center"/>
              <w:rPr>
                <w:rFonts w:ascii="Calibri" w:hAnsi="Calibri"/>
                <w:b/>
                <w:bCs/>
              </w:rPr>
            </w:pPr>
            <w:r>
              <w:rPr>
                <w:rFonts w:ascii="Calibri" w:hAnsi="Calibri"/>
                <w:b/>
                <w:bCs/>
              </w:rPr>
              <w:t>6 975 452,28 zł</w:t>
            </w:r>
          </w:p>
        </w:tc>
      </w:tr>
      <w:tr>
        <w:trPr/>
        <w:tc>
          <w:tcPr>
            <w:tcW w:w="450" w:type="dxa"/>
            <w:tcBorders>
              <w:start w:val="single" w:sz="2" w:space="0" w:color="000000"/>
              <w:bottom w:val="single" w:sz="2" w:space="0" w:color="000000"/>
            </w:tcBorders>
            <w:shd w:fill="FFBF00" w:val="clear"/>
            <w:vAlign w:val="center"/>
          </w:tcPr>
          <w:p>
            <w:pPr>
              <w:pStyle w:val="Zawartotabeli"/>
              <w:jc w:val="center"/>
              <w:rPr>
                <w:rFonts w:ascii="Calibri" w:hAnsi="Calibri"/>
                <w:b/>
                <w:bCs/>
              </w:rPr>
            </w:pPr>
            <w:r>
              <w:rPr>
                <w:rFonts w:ascii="Calibri" w:hAnsi="Calibri"/>
                <w:b/>
                <w:bCs/>
              </w:rPr>
              <w:t>11.</w:t>
            </w:r>
          </w:p>
        </w:tc>
        <w:tc>
          <w:tcPr>
            <w:tcW w:w="1450" w:type="dxa"/>
            <w:tcBorders>
              <w:start w:val="single" w:sz="2" w:space="0" w:color="000000"/>
              <w:bottom w:val="single" w:sz="2" w:space="0" w:color="000000"/>
            </w:tcBorders>
            <w:shd w:fill="ACB20C" w:val="clear"/>
            <w:vAlign w:val="center"/>
          </w:tcPr>
          <w:p>
            <w:pPr>
              <w:pStyle w:val="Zawartotabeli"/>
              <w:jc w:val="center"/>
              <w:rPr>
                <w:rFonts w:ascii="Calibri" w:hAnsi="Calibri"/>
                <w:b/>
                <w:bCs/>
              </w:rPr>
            </w:pPr>
            <w:r>
              <w:rPr>
                <w:rFonts w:ascii="Calibri" w:hAnsi="Calibri"/>
                <w:b/>
                <w:bCs/>
              </w:rPr>
              <w:t>85216</w:t>
            </w:r>
          </w:p>
        </w:tc>
        <w:tc>
          <w:tcPr>
            <w:tcW w:w="3090" w:type="dxa"/>
            <w:tcBorders>
              <w:start w:val="single" w:sz="2" w:space="0" w:color="000000"/>
              <w:bottom w:val="single" w:sz="2" w:space="0" w:color="000000"/>
            </w:tcBorders>
            <w:shd w:fill="FFDE59" w:val="clear"/>
            <w:vAlign w:val="center"/>
          </w:tcPr>
          <w:p>
            <w:pPr>
              <w:pStyle w:val="Zawartotabeli"/>
              <w:jc w:val="center"/>
              <w:rPr>
                <w:rFonts w:ascii="Calibri" w:hAnsi="Calibri"/>
                <w:b/>
                <w:bCs/>
              </w:rPr>
            </w:pPr>
            <w:r>
              <w:rPr>
                <w:rFonts w:ascii="Calibri" w:hAnsi="Calibri"/>
                <w:b/>
                <w:bCs/>
              </w:rPr>
              <w:t>Fundusz Pomocy Ukrainie</w:t>
            </w:r>
          </w:p>
        </w:tc>
        <w:tc>
          <w:tcPr>
            <w:tcW w:w="2718" w:type="dxa"/>
            <w:tcBorders>
              <w:start w:val="single" w:sz="2" w:space="0" w:color="000000"/>
              <w:bottom w:val="single" w:sz="2" w:space="0" w:color="000000"/>
            </w:tcBorders>
            <w:shd w:fill="E6E905" w:val="clear"/>
            <w:vAlign w:val="center"/>
          </w:tcPr>
          <w:p>
            <w:pPr>
              <w:pStyle w:val="Zawartotabeli"/>
              <w:jc w:val="center"/>
              <w:rPr>
                <w:rFonts w:ascii="Calibri" w:hAnsi="Calibri"/>
              </w:rPr>
            </w:pPr>
            <w:r>
              <w:rPr>
                <w:rFonts w:ascii="Calibri" w:hAnsi="Calibri"/>
              </w:rPr>
              <w:t>zasiłki stałe</w:t>
            </w:r>
          </w:p>
        </w:tc>
        <w:tc>
          <w:tcPr>
            <w:tcW w:w="1742" w:type="dxa"/>
            <w:tcBorders>
              <w:start w:val="single" w:sz="2" w:space="0" w:color="000000"/>
              <w:bottom w:val="single" w:sz="2" w:space="0" w:color="000000"/>
              <w:end w:val="single" w:sz="2" w:space="0" w:color="000000"/>
            </w:tcBorders>
            <w:shd w:fill="5EB91E" w:val="clear"/>
            <w:vAlign w:val="center"/>
          </w:tcPr>
          <w:p>
            <w:pPr>
              <w:pStyle w:val="Zawartotabeli"/>
              <w:jc w:val="center"/>
              <w:rPr>
                <w:rFonts w:ascii="Calibri" w:hAnsi="Calibri"/>
                <w:b/>
                <w:bCs/>
              </w:rPr>
            </w:pPr>
            <w:r>
              <w:rPr>
                <w:rFonts w:ascii="Calibri" w:hAnsi="Calibri"/>
                <w:b/>
                <w:bCs/>
              </w:rPr>
              <w:t>56 294,12 zł</w:t>
            </w:r>
          </w:p>
        </w:tc>
      </w:tr>
      <w:tr>
        <w:trPr/>
        <w:tc>
          <w:tcPr>
            <w:tcW w:w="450" w:type="dxa"/>
            <w:vMerge w:val="restart"/>
            <w:tcBorders>
              <w:start w:val="single" w:sz="2" w:space="0" w:color="000000"/>
              <w:bottom w:val="single" w:sz="2" w:space="0" w:color="000000"/>
            </w:tcBorders>
            <w:shd w:fill="FFBF00" w:val="clear"/>
            <w:vAlign w:val="center"/>
          </w:tcPr>
          <w:p>
            <w:pPr>
              <w:pStyle w:val="Zawartotabeli"/>
              <w:jc w:val="center"/>
              <w:rPr>
                <w:rFonts w:ascii="Calibri" w:hAnsi="Calibri"/>
                <w:b/>
                <w:bCs/>
              </w:rPr>
            </w:pPr>
            <w:r>
              <w:rPr>
                <w:rFonts w:ascii="Calibri" w:hAnsi="Calibri"/>
                <w:b/>
                <w:bCs/>
              </w:rPr>
              <w:t>12.</w:t>
            </w:r>
          </w:p>
        </w:tc>
        <w:tc>
          <w:tcPr>
            <w:tcW w:w="1450" w:type="dxa"/>
            <w:vMerge w:val="restart"/>
            <w:tcBorders>
              <w:start w:val="single" w:sz="2" w:space="0" w:color="000000"/>
              <w:bottom w:val="single" w:sz="2" w:space="0" w:color="000000"/>
            </w:tcBorders>
            <w:shd w:fill="ACB20C" w:val="clear"/>
            <w:vAlign w:val="center"/>
          </w:tcPr>
          <w:p>
            <w:pPr>
              <w:pStyle w:val="Zawartotabeli"/>
              <w:jc w:val="center"/>
              <w:rPr>
                <w:rFonts w:ascii="Calibri" w:hAnsi="Calibri"/>
                <w:b/>
                <w:bCs/>
              </w:rPr>
            </w:pPr>
            <w:r>
              <w:rPr>
                <w:rFonts w:ascii="Calibri" w:hAnsi="Calibri"/>
                <w:b/>
                <w:bCs/>
              </w:rPr>
              <w:t>85219</w:t>
            </w:r>
          </w:p>
        </w:tc>
        <w:tc>
          <w:tcPr>
            <w:tcW w:w="3090" w:type="dxa"/>
            <w:vMerge w:val="restart"/>
            <w:tcBorders>
              <w:start w:val="single" w:sz="2" w:space="0" w:color="000000"/>
              <w:bottom w:val="single" w:sz="2" w:space="0" w:color="000000"/>
            </w:tcBorders>
            <w:shd w:fill="FFDE59" w:val="clear"/>
            <w:vAlign w:val="center"/>
          </w:tcPr>
          <w:p>
            <w:pPr>
              <w:pStyle w:val="Zawartotabeli"/>
              <w:jc w:val="center"/>
              <w:rPr>
                <w:rFonts w:ascii="Calibri" w:hAnsi="Calibri"/>
                <w:b/>
                <w:bCs/>
              </w:rPr>
            </w:pPr>
            <w:r>
              <w:rPr>
                <w:rFonts w:ascii="Calibri" w:hAnsi="Calibri"/>
                <w:b/>
                <w:bCs/>
              </w:rPr>
              <w:t>Utrzymanie Ośrodka</w:t>
            </w:r>
          </w:p>
        </w:tc>
        <w:tc>
          <w:tcPr>
            <w:tcW w:w="2718" w:type="dxa"/>
            <w:tcBorders>
              <w:start w:val="single" w:sz="2" w:space="0" w:color="000000"/>
              <w:bottom w:val="single" w:sz="2" w:space="0" w:color="000000"/>
            </w:tcBorders>
            <w:shd w:fill="E6E905" w:val="clear"/>
            <w:vAlign w:val="center"/>
          </w:tcPr>
          <w:p>
            <w:pPr>
              <w:pStyle w:val="Zawartotabeli"/>
              <w:jc w:val="center"/>
              <w:rPr>
                <w:rFonts w:ascii="Calibri" w:hAnsi="Calibri"/>
              </w:rPr>
            </w:pPr>
            <w:r>
              <w:rPr>
                <w:rFonts w:ascii="Calibri" w:hAnsi="Calibri"/>
              </w:rPr>
            </w:r>
          </w:p>
        </w:tc>
        <w:tc>
          <w:tcPr>
            <w:tcW w:w="1742" w:type="dxa"/>
            <w:tcBorders>
              <w:start w:val="single" w:sz="2" w:space="0" w:color="000000"/>
              <w:bottom w:val="single" w:sz="2" w:space="0" w:color="000000"/>
              <w:end w:val="single" w:sz="2" w:space="0" w:color="000000"/>
            </w:tcBorders>
            <w:shd w:fill="5EB91E" w:val="clear"/>
            <w:vAlign w:val="center"/>
          </w:tcPr>
          <w:p>
            <w:pPr>
              <w:pStyle w:val="Zawartotabeli"/>
              <w:jc w:val="center"/>
              <w:rPr>
                <w:rFonts w:ascii="Calibri" w:hAnsi="Calibri"/>
                <w:b/>
                <w:bCs/>
              </w:rPr>
            </w:pPr>
            <w:r>
              <w:rPr>
                <w:rFonts w:ascii="Calibri" w:hAnsi="Calibri"/>
                <w:b/>
                <w:bCs/>
              </w:rPr>
              <w:t>6 302 770,68 zł</w:t>
            </w:r>
          </w:p>
        </w:tc>
      </w:tr>
      <w:tr>
        <w:trPr/>
        <w:tc>
          <w:tcPr>
            <w:tcW w:w="450" w:type="dxa"/>
            <w:vMerge w:val="continue"/>
            <w:tcBorders>
              <w:start w:val="single" w:sz="2" w:space="0" w:color="000000"/>
              <w:bottom w:val="single" w:sz="2" w:space="0" w:color="000000"/>
            </w:tcBorders>
            <w:shd w:fill="FFBF00" w:val="clear"/>
            <w:vAlign w:val="center"/>
          </w:tcPr>
          <w:p>
            <w:pPr>
              <w:pStyle w:val="Normal"/>
              <w:rPr/>
            </w:pPr>
            <w:r>
              <w:rPr/>
            </w:r>
          </w:p>
        </w:tc>
        <w:tc>
          <w:tcPr>
            <w:tcW w:w="1450" w:type="dxa"/>
            <w:vMerge w:val="continue"/>
            <w:tcBorders>
              <w:start w:val="single" w:sz="2" w:space="0" w:color="000000"/>
              <w:bottom w:val="single" w:sz="2" w:space="0" w:color="000000"/>
            </w:tcBorders>
            <w:shd w:fill="ACB20C" w:val="clear"/>
            <w:vAlign w:val="center"/>
          </w:tcPr>
          <w:p>
            <w:pPr>
              <w:pStyle w:val="Normal"/>
              <w:rPr/>
            </w:pPr>
            <w:r>
              <w:rPr/>
            </w:r>
          </w:p>
        </w:tc>
        <w:tc>
          <w:tcPr>
            <w:tcW w:w="3090" w:type="dxa"/>
            <w:vMerge w:val="continue"/>
            <w:tcBorders>
              <w:start w:val="single" w:sz="2" w:space="0" w:color="000000"/>
              <w:bottom w:val="single" w:sz="2" w:space="0" w:color="000000"/>
            </w:tcBorders>
            <w:shd w:fill="FFDE59" w:val="clear"/>
            <w:vAlign w:val="center"/>
          </w:tcPr>
          <w:p>
            <w:pPr>
              <w:pStyle w:val="Normal"/>
              <w:rPr/>
            </w:pPr>
            <w:r>
              <w:rPr/>
            </w:r>
          </w:p>
        </w:tc>
        <w:tc>
          <w:tcPr>
            <w:tcW w:w="2718" w:type="dxa"/>
            <w:tcBorders>
              <w:start w:val="single" w:sz="2" w:space="0" w:color="000000"/>
              <w:bottom w:val="single" w:sz="2" w:space="0" w:color="000000"/>
            </w:tcBorders>
            <w:shd w:fill="E6E905" w:val="clear"/>
            <w:vAlign w:val="center"/>
          </w:tcPr>
          <w:p>
            <w:pPr>
              <w:pStyle w:val="Zawartotabeli"/>
              <w:jc w:val="center"/>
              <w:rPr>
                <w:rFonts w:ascii="Calibri" w:hAnsi="Calibri"/>
              </w:rPr>
            </w:pPr>
            <w:r>
              <w:rPr>
                <w:rFonts w:ascii="Calibri" w:hAnsi="Calibri"/>
              </w:rPr>
              <w:t xml:space="preserve">wynagrodzenia </w:t>
              <w:br/>
              <w:t>i pochodne</w:t>
            </w:r>
          </w:p>
        </w:tc>
        <w:tc>
          <w:tcPr>
            <w:tcW w:w="1742" w:type="dxa"/>
            <w:tcBorders>
              <w:start w:val="single" w:sz="2" w:space="0" w:color="000000"/>
              <w:bottom w:val="single" w:sz="2" w:space="0" w:color="000000"/>
              <w:end w:val="single" w:sz="2" w:space="0" w:color="000000"/>
            </w:tcBorders>
            <w:shd w:fill="5EB91E" w:val="clear"/>
            <w:vAlign w:val="center"/>
          </w:tcPr>
          <w:p>
            <w:pPr>
              <w:pStyle w:val="Zawartotabeli"/>
              <w:jc w:val="center"/>
              <w:rPr>
                <w:rFonts w:ascii="Calibri" w:hAnsi="Calibri"/>
              </w:rPr>
            </w:pPr>
            <w:r>
              <w:rPr>
                <w:rFonts w:ascii="Calibri" w:hAnsi="Calibri"/>
              </w:rPr>
              <w:t>5 512 975,60 zł</w:t>
            </w:r>
          </w:p>
        </w:tc>
      </w:tr>
      <w:tr>
        <w:trPr/>
        <w:tc>
          <w:tcPr>
            <w:tcW w:w="450" w:type="dxa"/>
            <w:vMerge w:val="continue"/>
            <w:tcBorders>
              <w:start w:val="single" w:sz="2" w:space="0" w:color="000000"/>
              <w:bottom w:val="single" w:sz="2" w:space="0" w:color="000000"/>
            </w:tcBorders>
            <w:shd w:fill="FFBF00" w:val="clear"/>
            <w:vAlign w:val="center"/>
          </w:tcPr>
          <w:p>
            <w:pPr>
              <w:pStyle w:val="Normal"/>
              <w:rPr/>
            </w:pPr>
            <w:r>
              <w:rPr/>
            </w:r>
          </w:p>
        </w:tc>
        <w:tc>
          <w:tcPr>
            <w:tcW w:w="1450" w:type="dxa"/>
            <w:vMerge w:val="continue"/>
            <w:tcBorders>
              <w:start w:val="single" w:sz="2" w:space="0" w:color="000000"/>
              <w:bottom w:val="single" w:sz="2" w:space="0" w:color="000000"/>
            </w:tcBorders>
            <w:shd w:fill="ACB20C" w:val="clear"/>
            <w:vAlign w:val="center"/>
          </w:tcPr>
          <w:p>
            <w:pPr>
              <w:pStyle w:val="Normal"/>
              <w:rPr/>
            </w:pPr>
            <w:r>
              <w:rPr/>
            </w:r>
          </w:p>
        </w:tc>
        <w:tc>
          <w:tcPr>
            <w:tcW w:w="3090" w:type="dxa"/>
            <w:vMerge w:val="continue"/>
            <w:tcBorders>
              <w:start w:val="single" w:sz="2" w:space="0" w:color="000000"/>
              <w:bottom w:val="single" w:sz="2" w:space="0" w:color="000000"/>
            </w:tcBorders>
            <w:shd w:fill="FFDE59" w:val="clear"/>
            <w:vAlign w:val="center"/>
          </w:tcPr>
          <w:p>
            <w:pPr>
              <w:pStyle w:val="Normal"/>
              <w:rPr/>
            </w:pPr>
            <w:r>
              <w:rPr/>
            </w:r>
          </w:p>
        </w:tc>
        <w:tc>
          <w:tcPr>
            <w:tcW w:w="2718" w:type="dxa"/>
            <w:tcBorders>
              <w:start w:val="single" w:sz="2" w:space="0" w:color="000000"/>
              <w:bottom w:val="single" w:sz="2" w:space="0" w:color="000000"/>
            </w:tcBorders>
            <w:shd w:fill="E6E905" w:val="clear"/>
            <w:vAlign w:val="center"/>
          </w:tcPr>
          <w:p>
            <w:pPr>
              <w:pStyle w:val="Zawartotabeli"/>
              <w:jc w:val="center"/>
              <w:rPr>
                <w:rFonts w:ascii="Calibri" w:hAnsi="Calibri"/>
              </w:rPr>
            </w:pPr>
            <w:r>
              <w:rPr>
                <w:rFonts w:ascii="Calibri" w:hAnsi="Calibri"/>
              </w:rPr>
              <w:t>pozostałe wydatki rzeczowe</w:t>
            </w:r>
          </w:p>
        </w:tc>
        <w:tc>
          <w:tcPr>
            <w:tcW w:w="1742" w:type="dxa"/>
            <w:tcBorders>
              <w:start w:val="single" w:sz="2" w:space="0" w:color="000000"/>
              <w:bottom w:val="single" w:sz="2" w:space="0" w:color="000000"/>
              <w:end w:val="single" w:sz="2" w:space="0" w:color="000000"/>
            </w:tcBorders>
            <w:shd w:fill="5EB91E" w:val="clear"/>
            <w:vAlign w:val="center"/>
          </w:tcPr>
          <w:p>
            <w:pPr>
              <w:pStyle w:val="Zawartotabeli"/>
              <w:jc w:val="center"/>
              <w:rPr>
                <w:rFonts w:ascii="Calibri" w:hAnsi="Calibri"/>
              </w:rPr>
            </w:pPr>
            <w:r>
              <w:rPr>
                <w:rFonts w:ascii="Calibri" w:hAnsi="Calibri"/>
              </w:rPr>
              <w:t>789 795,08 zł</w:t>
            </w:r>
          </w:p>
        </w:tc>
      </w:tr>
      <w:tr>
        <w:trPr/>
        <w:tc>
          <w:tcPr>
            <w:tcW w:w="450" w:type="dxa"/>
            <w:tcBorders>
              <w:start w:val="single" w:sz="2" w:space="0" w:color="000000"/>
              <w:bottom w:val="single" w:sz="2" w:space="0" w:color="000000"/>
            </w:tcBorders>
            <w:shd w:fill="FFBF00" w:val="clear"/>
            <w:vAlign w:val="center"/>
          </w:tcPr>
          <w:p>
            <w:pPr>
              <w:pStyle w:val="Normal"/>
              <w:jc w:val="center"/>
              <w:rPr>
                <w:rFonts w:ascii="Calibri" w:hAnsi="Calibri"/>
                <w:b/>
                <w:bCs/>
              </w:rPr>
            </w:pPr>
            <w:r>
              <w:rPr>
                <w:rFonts w:ascii="Calibri" w:hAnsi="Calibri"/>
                <w:b/>
                <w:bCs/>
              </w:rPr>
              <w:t>13.</w:t>
            </w:r>
          </w:p>
        </w:tc>
        <w:tc>
          <w:tcPr>
            <w:tcW w:w="1450" w:type="dxa"/>
            <w:tcBorders>
              <w:start w:val="single" w:sz="2" w:space="0" w:color="000000"/>
              <w:bottom w:val="single" w:sz="2" w:space="0" w:color="000000"/>
            </w:tcBorders>
            <w:shd w:fill="ACB20C" w:val="clear"/>
            <w:vAlign w:val="center"/>
          </w:tcPr>
          <w:p>
            <w:pPr>
              <w:pStyle w:val="Normal"/>
              <w:jc w:val="center"/>
              <w:rPr>
                <w:rFonts w:ascii="Calibri" w:hAnsi="Calibri"/>
                <w:b/>
                <w:bCs/>
              </w:rPr>
            </w:pPr>
            <w:r>
              <w:rPr>
                <w:rFonts w:ascii="Calibri" w:hAnsi="Calibri"/>
                <w:b/>
                <w:bCs/>
              </w:rPr>
              <w:t>85219</w:t>
            </w:r>
          </w:p>
        </w:tc>
        <w:tc>
          <w:tcPr>
            <w:tcW w:w="3090" w:type="dxa"/>
            <w:tcBorders>
              <w:start w:val="single" w:sz="2" w:space="0" w:color="000000"/>
              <w:bottom w:val="single" w:sz="2" w:space="0" w:color="000000"/>
            </w:tcBorders>
            <w:shd w:fill="FFDE59" w:val="clear"/>
            <w:vAlign w:val="center"/>
          </w:tcPr>
          <w:p>
            <w:pPr>
              <w:pStyle w:val="Normal"/>
              <w:jc w:val="center"/>
              <w:rPr>
                <w:rFonts w:ascii="Calibri" w:hAnsi="Calibri"/>
                <w:b/>
                <w:bCs/>
              </w:rPr>
            </w:pPr>
            <w:r>
              <w:rPr>
                <w:rFonts w:ascii="Calibri" w:hAnsi="Calibri"/>
                <w:b/>
                <w:bCs/>
              </w:rPr>
              <w:t>Dodatki motywacyjne</w:t>
            </w:r>
          </w:p>
        </w:tc>
        <w:tc>
          <w:tcPr>
            <w:tcW w:w="2718" w:type="dxa"/>
            <w:tcBorders>
              <w:start w:val="single" w:sz="2" w:space="0" w:color="000000"/>
              <w:bottom w:val="single" w:sz="2" w:space="0" w:color="000000"/>
            </w:tcBorders>
            <w:shd w:fill="E6E905" w:val="clear"/>
            <w:vAlign w:val="center"/>
          </w:tcPr>
          <w:p>
            <w:pPr>
              <w:pStyle w:val="Zawartotabeli"/>
              <w:jc w:val="center"/>
              <w:rPr>
                <w:rFonts w:ascii="Calibri" w:hAnsi="Calibri"/>
              </w:rPr>
            </w:pPr>
            <w:r>
              <w:rPr>
                <w:rFonts w:ascii="Calibri" w:hAnsi="Calibri"/>
              </w:rPr>
            </w:r>
          </w:p>
        </w:tc>
        <w:tc>
          <w:tcPr>
            <w:tcW w:w="1742" w:type="dxa"/>
            <w:tcBorders>
              <w:start w:val="single" w:sz="2" w:space="0" w:color="000000"/>
              <w:bottom w:val="single" w:sz="2" w:space="0" w:color="000000"/>
              <w:end w:val="single" w:sz="2" w:space="0" w:color="000000"/>
            </w:tcBorders>
            <w:shd w:fill="5EB91E" w:val="clear"/>
            <w:vAlign w:val="center"/>
          </w:tcPr>
          <w:p>
            <w:pPr>
              <w:pStyle w:val="Zawartotabeli"/>
              <w:jc w:val="center"/>
              <w:rPr>
                <w:rFonts w:ascii="Calibri" w:hAnsi="Calibri"/>
                <w:b/>
                <w:bCs/>
              </w:rPr>
            </w:pPr>
            <w:r>
              <w:rPr>
                <w:rFonts w:ascii="Calibri" w:hAnsi="Calibri"/>
                <w:b/>
                <w:bCs/>
              </w:rPr>
              <w:t>1 100 058,99 zł</w:t>
            </w:r>
          </w:p>
        </w:tc>
      </w:tr>
      <w:tr>
        <w:trPr/>
        <w:tc>
          <w:tcPr>
            <w:tcW w:w="450" w:type="dxa"/>
            <w:tcBorders>
              <w:start w:val="single" w:sz="2" w:space="0" w:color="000000"/>
              <w:bottom w:val="single" w:sz="2" w:space="0" w:color="000000"/>
            </w:tcBorders>
            <w:shd w:fill="FFBF00" w:val="clear"/>
            <w:vAlign w:val="center"/>
          </w:tcPr>
          <w:p>
            <w:pPr>
              <w:pStyle w:val="Zawartotabeli"/>
              <w:jc w:val="center"/>
              <w:rPr>
                <w:rFonts w:ascii="Calibri" w:hAnsi="Calibri"/>
                <w:b/>
                <w:bCs/>
              </w:rPr>
            </w:pPr>
            <w:r>
              <w:rPr>
                <w:rFonts w:ascii="Calibri" w:hAnsi="Calibri"/>
                <w:b/>
                <w:bCs/>
              </w:rPr>
              <w:t>14.</w:t>
            </w:r>
          </w:p>
        </w:tc>
        <w:tc>
          <w:tcPr>
            <w:tcW w:w="1450" w:type="dxa"/>
            <w:tcBorders>
              <w:start w:val="single" w:sz="2" w:space="0" w:color="000000"/>
              <w:bottom w:val="single" w:sz="2" w:space="0" w:color="000000"/>
            </w:tcBorders>
            <w:shd w:fill="ACB20C" w:val="clear"/>
            <w:vAlign w:val="center"/>
          </w:tcPr>
          <w:p>
            <w:pPr>
              <w:pStyle w:val="Zawartotabeli"/>
              <w:jc w:val="center"/>
              <w:rPr>
                <w:rFonts w:ascii="Calibri" w:hAnsi="Calibri"/>
                <w:b/>
                <w:bCs/>
              </w:rPr>
            </w:pPr>
            <w:r>
              <w:rPr>
                <w:rFonts w:ascii="Calibri" w:hAnsi="Calibri"/>
                <w:b/>
                <w:bCs/>
              </w:rPr>
              <w:t>85220</w:t>
            </w:r>
          </w:p>
        </w:tc>
        <w:tc>
          <w:tcPr>
            <w:tcW w:w="3090" w:type="dxa"/>
            <w:tcBorders>
              <w:start w:val="single" w:sz="2" w:space="0" w:color="000000"/>
              <w:bottom w:val="single" w:sz="2" w:space="0" w:color="000000"/>
            </w:tcBorders>
            <w:shd w:fill="FFDE59" w:val="clear"/>
            <w:vAlign w:val="center"/>
          </w:tcPr>
          <w:p>
            <w:pPr>
              <w:pStyle w:val="Zawartotabeli"/>
              <w:jc w:val="center"/>
              <w:rPr>
                <w:rFonts w:ascii="Calibri" w:hAnsi="Calibri"/>
                <w:b/>
                <w:bCs/>
              </w:rPr>
            </w:pPr>
            <w:r>
              <w:rPr>
                <w:rFonts w:ascii="Calibri" w:hAnsi="Calibri"/>
                <w:b/>
                <w:bCs/>
              </w:rPr>
              <w:t>Mieszkania chronione</w:t>
            </w:r>
          </w:p>
        </w:tc>
        <w:tc>
          <w:tcPr>
            <w:tcW w:w="2718" w:type="dxa"/>
            <w:tcBorders>
              <w:start w:val="single" w:sz="2" w:space="0" w:color="000000"/>
              <w:bottom w:val="single" w:sz="2" w:space="0" w:color="000000"/>
            </w:tcBorders>
            <w:shd w:fill="E6E905" w:val="clear"/>
            <w:vAlign w:val="center"/>
          </w:tcPr>
          <w:p>
            <w:pPr>
              <w:pStyle w:val="Zawartotabeli"/>
              <w:jc w:val="center"/>
              <w:rPr>
                <w:rFonts w:ascii="Calibri" w:hAnsi="Calibri"/>
              </w:rPr>
            </w:pPr>
            <w:r>
              <w:rPr>
                <w:rFonts w:ascii="Calibri" w:hAnsi="Calibri"/>
              </w:rPr>
            </w:r>
          </w:p>
        </w:tc>
        <w:tc>
          <w:tcPr>
            <w:tcW w:w="1742" w:type="dxa"/>
            <w:tcBorders>
              <w:start w:val="single" w:sz="2" w:space="0" w:color="000000"/>
              <w:bottom w:val="single" w:sz="2" w:space="0" w:color="000000"/>
              <w:end w:val="single" w:sz="2" w:space="0" w:color="000000"/>
            </w:tcBorders>
            <w:shd w:fill="5EB91E" w:val="clear"/>
            <w:vAlign w:val="center"/>
          </w:tcPr>
          <w:p>
            <w:pPr>
              <w:pStyle w:val="Zawartotabeli"/>
              <w:jc w:val="center"/>
              <w:rPr>
                <w:rFonts w:ascii="Calibri" w:hAnsi="Calibri"/>
                <w:b/>
                <w:bCs/>
              </w:rPr>
            </w:pPr>
            <w:r>
              <w:rPr>
                <w:rFonts w:ascii="Calibri" w:hAnsi="Calibri"/>
                <w:b/>
                <w:bCs/>
              </w:rPr>
              <w:t>23 998,60 zł</w:t>
            </w:r>
          </w:p>
        </w:tc>
      </w:tr>
      <w:tr>
        <w:trPr/>
        <w:tc>
          <w:tcPr>
            <w:tcW w:w="450" w:type="dxa"/>
            <w:vMerge w:val="restart"/>
            <w:tcBorders>
              <w:start w:val="single" w:sz="2" w:space="0" w:color="000000"/>
              <w:bottom w:val="single" w:sz="2" w:space="0" w:color="000000"/>
            </w:tcBorders>
            <w:shd w:fill="FFBF00" w:val="clear"/>
            <w:vAlign w:val="center"/>
          </w:tcPr>
          <w:p>
            <w:pPr>
              <w:pStyle w:val="Zawartotabeli"/>
              <w:jc w:val="center"/>
              <w:rPr>
                <w:rFonts w:ascii="Calibri" w:hAnsi="Calibri"/>
                <w:b/>
                <w:bCs/>
              </w:rPr>
            </w:pPr>
            <w:r>
              <w:rPr>
                <w:rFonts w:ascii="Calibri" w:hAnsi="Calibri"/>
                <w:b/>
                <w:bCs/>
              </w:rPr>
              <w:t>15.</w:t>
            </w:r>
          </w:p>
        </w:tc>
        <w:tc>
          <w:tcPr>
            <w:tcW w:w="1450" w:type="dxa"/>
            <w:vMerge w:val="restart"/>
            <w:tcBorders>
              <w:start w:val="single" w:sz="2" w:space="0" w:color="000000"/>
              <w:bottom w:val="single" w:sz="2" w:space="0" w:color="000000"/>
            </w:tcBorders>
            <w:shd w:fill="ACB20C" w:val="clear"/>
            <w:vAlign w:val="center"/>
          </w:tcPr>
          <w:p>
            <w:pPr>
              <w:pStyle w:val="Zawartotabeli"/>
              <w:jc w:val="center"/>
              <w:rPr>
                <w:rFonts w:ascii="Calibri" w:hAnsi="Calibri"/>
                <w:b/>
                <w:bCs/>
              </w:rPr>
            </w:pPr>
            <w:r>
              <w:rPr>
                <w:rFonts w:ascii="Calibri" w:hAnsi="Calibri"/>
                <w:b/>
                <w:bCs/>
              </w:rPr>
              <w:t>85228</w:t>
            </w:r>
          </w:p>
        </w:tc>
        <w:tc>
          <w:tcPr>
            <w:tcW w:w="3090" w:type="dxa"/>
            <w:vMerge w:val="restart"/>
            <w:tcBorders>
              <w:start w:val="single" w:sz="2" w:space="0" w:color="000000"/>
              <w:bottom w:val="single" w:sz="2" w:space="0" w:color="000000"/>
            </w:tcBorders>
            <w:shd w:fill="FFDE59" w:val="clear"/>
            <w:vAlign w:val="center"/>
          </w:tcPr>
          <w:p>
            <w:pPr>
              <w:pStyle w:val="Zawartotabeli"/>
              <w:jc w:val="center"/>
              <w:rPr>
                <w:rFonts w:ascii="Calibri" w:hAnsi="Calibri"/>
                <w:b/>
                <w:bCs/>
              </w:rPr>
            </w:pPr>
            <w:r>
              <w:rPr>
                <w:rFonts w:ascii="Calibri" w:hAnsi="Calibri"/>
                <w:b/>
                <w:bCs/>
              </w:rPr>
              <w:t>Korpus Wspieraj Seniora MODUŁ I</w:t>
            </w:r>
          </w:p>
        </w:tc>
        <w:tc>
          <w:tcPr>
            <w:tcW w:w="2718" w:type="dxa"/>
            <w:tcBorders>
              <w:start w:val="single" w:sz="2" w:space="0" w:color="000000"/>
              <w:bottom w:val="single" w:sz="2" w:space="0" w:color="000000"/>
            </w:tcBorders>
            <w:shd w:fill="E6E905" w:val="clear"/>
            <w:vAlign w:val="center"/>
          </w:tcPr>
          <w:p>
            <w:pPr>
              <w:pStyle w:val="Zawartotabeli"/>
              <w:jc w:val="center"/>
              <w:rPr>
                <w:rFonts w:ascii="Calibri" w:hAnsi="Calibri"/>
              </w:rPr>
            </w:pPr>
            <w:r>
              <w:rPr>
                <w:rFonts w:ascii="Calibri" w:hAnsi="Calibri"/>
              </w:rPr>
            </w:r>
          </w:p>
        </w:tc>
        <w:tc>
          <w:tcPr>
            <w:tcW w:w="1742" w:type="dxa"/>
            <w:tcBorders>
              <w:start w:val="single" w:sz="2" w:space="0" w:color="000000"/>
              <w:bottom w:val="single" w:sz="2" w:space="0" w:color="000000"/>
              <w:end w:val="single" w:sz="2" w:space="0" w:color="000000"/>
            </w:tcBorders>
            <w:shd w:fill="5EB91E" w:val="clear"/>
            <w:vAlign w:val="center"/>
          </w:tcPr>
          <w:p>
            <w:pPr>
              <w:pStyle w:val="Zawartotabeli"/>
              <w:jc w:val="center"/>
              <w:rPr>
                <w:rFonts w:ascii="Calibri" w:hAnsi="Calibri"/>
                <w:b/>
                <w:bCs/>
              </w:rPr>
            </w:pPr>
            <w:r>
              <w:rPr>
                <w:rFonts w:ascii="Calibri" w:hAnsi="Calibri"/>
                <w:b/>
                <w:bCs/>
              </w:rPr>
              <w:t>32 469,56 zł</w:t>
            </w:r>
          </w:p>
        </w:tc>
      </w:tr>
      <w:tr>
        <w:trPr/>
        <w:tc>
          <w:tcPr>
            <w:tcW w:w="450" w:type="dxa"/>
            <w:vMerge w:val="continue"/>
            <w:tcBorders>
              <w:start w:val="single" w:sz="2" w:space="0" w:color="000000"/>
              <w:bottom w:val="single" w:sz="2" w:space="0" w:color="000000"/>
            </w:tcBorders>
            <w:shd w:fill="FFBF00" w:val="clear"/>
            <w:vAlign w:val="center"/>
          </w:tcPr>
          <w:p>
            <w:pPr>
              <w:pStyle w:val="Normal"/>
              <w:rPr/>
            </w:pPr>
            <w:r>
              <w:rPr/>
            </w:r>
          </w:p>
        </w:tc>
        <w:tc>
          <w:tcPr>
            <w:tcW w:w="1450" w:type="dxa"/>
            <w:vMerge w:val="continue"/>
            <w:tcBorders>
              <w:start w:val="single" w:sz="2" w:space="0" w:color="000000"/>
              <w:bottom w:val="single" w:sz="2" w:space="0" w:color="000000"/>
            </w:tcBorders>
            <w:shd w:fill="ACB20C" w:val="clear"/>
            <w:vAlign w:val="center"/>
          </w:tcPr>
          <w:p>
            <w:pPr>
              <w:pStyle w:val="Normal"/>
              <w:rPr/>
            </w:pPr>
            <w:r>
              <w:rPr/>
            </w:r>
          </w:p>
        </w:tc>
        <w:tc>
          <w:tcPr>
            <w:tcW w:w="3090" w:type="dxa"/>
            <w:vMerge w:val="continue"/>
            <w:tcBorders>
              <w:start w:val="single" w:sz="2" w:space="0" w:color="000000"/>
              <w:bottom w:val="single" w:sz="2" w:space="0" w:color="000000"/>
            </w:tcBorders>
            <w:shd w:fill="FFDE59" w:val="clear"/>
            <w:vAlign w:val="center"/>
          </w:tcPr>
          <w:p>
            <w:pPr>
              <w:pStyle w:val="Normal"/>
              <w:rPr/>
            </w:pPr>
            <w:r>
              <w:rPr/>
            </w:r>
          </w:p>
        </w:tc>
        <w:tc>
          <w:tcPr>
            <w:tcW w:w="2718" w:type="dxa"/>
            <w:tcBorders>
              <w:start w:val="single" w:sz="2" w:space="0" w:color="000000"/>
              <w:bottom w:val="single" w:sz="2" w:space="0" w:color="000000"/>
            </w:tcBorders>
            <w:shd w:fill="E6E905" w:val="clear"/>
            <w:vAlign w:val="center"/>
          </w:tcPr>
          <w:p>
            <w:pPr>
              <w:pStyle w:val="Zawartotabeli"/>
              <w:jc w:val="center"/>
              <w:rPr>
                <w:rFonts w:ascii="Calibri" w:hAnsi="Calibri"/>
              </w:rPr>
            </w:pPr>
            <w:r>
              <w:rPr>
                <w:rFonts w:ascii="Calibri" w:hAnsi="Calibri"/>
              </w:rPr>
              <w:t xml:space="preserve">wynagrodzenia </w:t>
              <w:br/>
              <w:t xml:space="preserve">i pochodne </w:t>
              <w:br/>
              <w:t>- dotacja celowa - 13 475,40 zł</w:t>
              <w:br/>
              <w:t>- środki własne - 3 368,85 zł</w:t>
            </w:r>
          </w:p>
          <w:p>
            <w:pPr>
              <w:pStyle w:val="Zawartotabeli"/>
              <w:jc w:val="center"/>
              <w:rPr>
                <w:rFonts w:ascii="Calibri" w:hAnsi="Calibri"/>
              </w:rPr>
            </w:pPr>
            <w:r>
              <w:rPr>
                <w:rFonts w:ascii="Calibri" w:hAnsi="Calibri"/>
              </w:rPr>
              <w:t xml:space="preserve">wynagrodzenia </w:t>
              <w:br/>
              <w:t>i pochodne niekwalifikowalne</w:t>
              <w:br/>
              <w:t>- dotacja celowa - 7 467,36 zł</w:t>
              <w:br/>
              <w:t>- środki własne - 7 857,95 zł</w:t>
            </w:r>
          </w:p>
        </w:tc>
        <w:tc>
          <w:tcPr>
            <w:tcW w:w="1742" w:type="dxa"/>
            <w:tcBorders>
              <w:start w:val="single" w:sz="2" w:space="0" w:color="000000"/>
              <w:bottom w:val="single" w:sz="2" w:space="0" w:color="000000"/>
              <w:end w:val="single" w:sz="2" w:space="0" w:color="000000"/>
            </w:tcBorders>
            <w:shd w:fill="5EB91E" w:val="clear"/>
            <w:vAlign w:val="center"/>
          </w:tcPr>
          <w:p>
            <w:pPr>
              <w:pStyle w:val="Zawartotabeli"/>
              <w:jc w:val="center"/>
              <w:rPr>
                <w:rFonts w:ascii="Calibri" w:hAnsi="Calibri"/>
              </w:rPr>
            </w:pPr>
            <w:r>
              <w:rPr>
                <w:rFonts w:ascii="Calibri" w:hAnsi="Calibri"/>
              </w:rPr>
              <w:t>32 169,56 zł</w:t>
            </w:r>
          </w:p>
        </w:tc>
      </w:tr>
      <w:tr>
        <w:trPr/>
        <w:tc>
          <w:tcPr>
            <w:tcW w:w="450" w:type="dxa"/>
            <w:vMerge w:val="continue"/>
            <w:tcBorders>
              <w:start w:val="single" w:sz="2" w:space="0" w:color="000000"/>
              <w:bottom w:val="single" w:sz="2" w:space="0" w:color="000000"/>
            </w:tcBorders>
            <w:shd w:fill="FFBF00" w:val="clear"/>
            <w:vAlign w:val="center"/>
          </w:tcPr>
          <w:p>
            <w:pPr>
              <w:pStyle w:val="Normal"/>
              <w:rPr/>
            </w:pPr>
            <w:r>
              <w:rPr/>
            </w:r>
          </w:p>
        </w:tc>
        <w:tc>
          <w:tcPr>
            <w:tcW w:w="1450" w:type="dxa"/>
            <w:vMerge w:val="continue"/>
            <w:tcBorders>
              <w:start w:val="single" w:sz="2" w:space="0" w:color="000000"/>
              <w:bottom w:val="single" w:sz="2" w:space="0" w:color="000000"/>
            </w:tcBorders>
            <w:shd w:fill="ACB20C" w:val="clear"/>
            <w:vAlign w:val="center"/>
          </w:tcPr>
          <w:p>
            <w:pPr>
              <w:pStyle w:val="Normal"/>
              <w:rPr/>
            </w:pPr>
            <w:r>
              <w:rPr/>
            </w:r>
          </w:p>
        </w:tc>
        <w:tc>
          <w:tcPr>
            <w:tcW w:w="3090" w:type="dxa"/>
            <w:vMerge w:val="continue"/>
            <w:tcBorders>
              <w:start w:val="single" w:sz="2" w:space="0" w:color="000000"/>
              <w:bottom w:val="single" w:sz="2" w:space="0" w:color="000000"/>
            </w:tcBorders>
            <w:shd w:fill="FFDE59" w:val="clear"/>
            <w:vAlign w:val="center"/>
          </w:tcPr>
          <w:p>
            <w:pPr>
              <w:pStyle w:val="Normal"/>
              <w:rPr/>
            </w:pPr>
            <w:r>
              <w:rPr/>
            </w:r>
          </w:p>
        </w:tc>
        <w:tc>
          <w:tcPr>
            <w:tcW w:w="2718" w:type="dxa"/>
            <w:tcBorders>
              <w:start w:val="single" w:sz="2" w:space="0" w:color="000000"/>
              <w:bottom w:val="single" w:sz="2" w:space="0" w:color="000000"/>
            </w:tcBorders>
            <w:shd w:fill="E6E905" w:val="clear"/>
            <w:vAlign w:val="center"/>
          </w:tcPr>
          <w:p>
            <w:pPr>
              <w:pStyle w:val="Zawartotabeli"/>
              <w:jc w:val="center"/>
              <w:rPr>
                <w:rFonts w:ascii="Calibri" w:hAnsi="Calibri"/>
              </w:rPr>
            </w:pPr>
            <w:r>
              <w:rPr>
                <w:rFonts w:ascii="Calibri" w:hAnsi="Calibri"/>
              </w:rPr>
              <w:t>pozostałe wydatki rzeczowe niekwalifikowalne - środki własne</w:t>
            </w:r>
          </w:p>
        </w:tc>
        <w:tc>
          <w:tcPr>
            <w:tcW w:w="1742" w:type="dxa"/>
            <w:tcBorders>
              <w:start w:val="single" w:sz="2" w:space="0" w:color="000000"/>
              <w:bottom w:val="single" w:sz="2" w:space="0" w:color="000000"/>
              <w:end w:val="single" w:sz="2" w:space="0" w:color="000000"/>
            </w:tcBorders>
            <w:shd w:fill="5EB91E" w:val="clear"/>
            <w:vAlign w:val="center"/>
          </w:tcPr>
          <w:p>
            <w:pPr>
              <w:pStyle w:val="Zawartotabeli"/>
              <w:jc w:val="center"/>
              <w:rPr>
                <w:rFonts w:ascii="Calibri" w:hAnsi="Calibri"/>
              </w:rPr>
            </w:pPr>
            <w:r>
              <w:rPr>
                <w:rFonts w:ascii="Calibri" w:hAnsi="Calibri"/>
              </w:rPr>
              <w:t>300,00 zł</w:t>
            </w:r>
          </w:p>
        </w:tc>
      </w:tr>
      <w:tr>
        <w:trPr/>
        <w:tc>
          <w:tcPr>
            <w:tcW w:w="450" w:type="dxa"/>
            <w:vMerge w:val="restart"/>
            <w:tcBorders>
              <w:start w:val="single" w:sz="2" w:space="0" w:color="000000"/>
              <w:bottom w:val="single" w:sz="2" w:space="0" w:color="000000"/>
            </w:tcBorders>
            <w:shd w:fill="FFBF00" w:val="clear"/>
            <w:vAlign w:val="center"/>
          </w:tcPr>
          <w:p>
            <w:pPr>
              <w:pStyle w:val="Zawartotabeli"/>
              <w:jc w:val="center"/>
              <w:rPr>
                <w:rFonts w:ascii="Calibri" w:hAnsi="Calibri"/>
                <w:b/>
                <w:bCs/>
              </w:rPr>
            </w:pPr>
            <w:r>
              <w:rPr>
                <w:rFonts w:ascii="Calibri" w:hAnsi="Calibri"/>
                <w:b/>
                <w:bCs/>
              </w:rPr>
              <w:t>16.</w:t>
            </w:r>
          </w:p>
        </w:tc>
        <w:tc>
          <w:tcPr>
            <w:tcW w:w="1450" w:type="dxa"/>
            <w:vMerge w:val="restart"/>
            <w:tcBorders>
              <w:start w:val="single" w:sz="2" w:space="0" w:color="000000"/>
              <w:bottom w:val="single" w:sz="2" w:space="0" w:color="000000"/>
            </w:tcBorders>
            <w:shd w:fill="ACB20C" w:val="clear"/>
            <w:vAlign w:val="center"/>
          </w:tcPr>
          <w:p>
            <w:pPr>
              <w:pStyle w:val="Zawartotabeli"/>
              <w:jc w:val="center"/>
              <w:rPr>
                <w:rFonts w:ascii="Calibri" w:hAnsi="Calibri"/>
                <w:b/>
                <w:bCs/>
              </w:rPr>
            </w:pPr>
            <w:r>
              <w:rPr>
                <w:rFonts w:ascii="Calibri" w:hAnsi="Calibri"/>
                <w:b/>
                <w:bCs/>
              </w:rPr>
              <w:t>85230</w:t>
            </w:r>
          </w:p>
        </w:tc>
        <w:tc>
          <w:tcPr>
            <w:tcW w:w="3090" w:type="dxa"/>
            <w:vMerge w:val="restart"/>
            <w:tcBorders>
              <w:start w:val="single" w:sz="2" w:space="0" w:color="000000"/>
              <w:bottom w:val="single" w:sz="2" w:space="0" w:color="000000"/>
            </w:tcBorders>
            <w:shd w:fill="FFDE59" w:val="clear"/>
            <w:vAlign w:val="center"/>
          </w:tcPr>
          <w:p>
            <w:pPr>
              <w:pStyle w:val="Zawartotabeli"/>
              <w:jc w:val="center"/>
              <w:rPr>
                <w:rFonts w:ascii="Calibri" w:hAnsi="Calibri"/>
                <w:b/>
                <w:bCs/>
              </w:rPr>
            </w:pPr>
            <w:r>
              <w:rPr>
                <w:rFonts w:ascii="Calibri" w:hAnsi="Calibri"/>
                <w:b/>
                <w:bCs/>
              </w:rPr>
              <w:t>Pomoc w zakresie dożywiania</w:t>
            </w:r>
          </w:p>
        </w:tc>
        <w:tc>
          <w:tcPr>
            <w:tcW w:w="2718" w:type="dxa"/>
            <w:tcBorders>
              <w:start w:val="single" w:sz="2" w:space="0" w:color="000000"/>
              <w:bottom w:val="single" w:sz="2" w:space="0" w:color="000000"/>
            </w:tcBorders>
            <w:shd w:fill="E6E905" w:val="clear"/>
            <w:vAlign w:val="center"/>
          </w:tcPr>
          <w:p>
            <w:pPr>
              <w:pStyle w:val="Zawartotabeli"/>
              <w:jc w:val="center"/>
              <w:rPr>
                <w:rFonts w:ascii="Calibri" w:hAnsi="Calibri"/>
              </w:rPr>
            </w:pPr>
            <w:r>
              <w:rPr>
                <w:rFonts w:ascii="Calibri" w:hAnsi="Calibri"/>
              </w:rPr>
            </w:r>
          </w:p>
        </w:tc>
        <w:tc>
          <w:tcPr>
            <w:tcW w:w="1742" w:type="dxa"/>
            <w:tcBorders>
              <w:start w:val="single" w:sz="2" w:space="0" w:color="000000"/>
              <w:bottom w:val="single" w:sz="2" w:space="0" w:color="000000"/>
              <w:end w:val="single" w:sz="2" w:space="0" w:color="000000"/>
            </w:tcBorders>
            <w:shd w:fill="5EB91E" w:val="clear"/>
            <w:vAlign w:val="center"/>
          </w:tcPr>
          <w:p>
            <w:pPr>
              <w:pStyle w:val="Zawartotabeli"/>
              <w:jc w:val="center"/>
              <w:rPr>
                <w:rFonts w:ascii="Calibri" w:hAnsi="Calibri"/>
                <w:b/>
                <w:bCs/>
              </w:rPr>
            </w:pPr>
            <w:r>
              <w:rPr>
                <w:rFonts w:ascii="Calibri" w:hAnsi="Calibri"/>
                <w:b/>
                <w:bCs/>
              </w:rPr>
              <w:t>1 399 550,52 zł</w:t>
            </w:r>
          </w:p>
        </w:tc>
      </w:tr>
      <w:tr>
        <w:trPr/>
        <w:tc>
          <w:tcPr>
            <w:tcW w:w="450" w:type="dxa"/>
            <w:vMerge w:val="continue"/>
            <w:tcBorders>
              <w:start w:val="single" w:sz="2" w:space="0" w:color="000000"/>
              <w:bottom w:val="single" w:sz="2" w:space="0" w:color="000000"/>
            </w:tcBorders>
            <w:shd w:fill="FFBF00" w:val="clear"/>
            <w:vAlign w:val="center"/>
          </w:tcPr>
          <w:p>
            <w:pPr>
              <w:pStyle w:val="Normal"/>
              <w:rPr/>
            </w:pPr>
            <w:r>
              <w:rPr/>
            </w:r>
          </w:p>
        </w:tc>
        <w:tc>
          <w:tcPr>
            <w:tcW w:w="1450" w:type="dxa"/>
            <w:vMerge w:val="continue"/>
            <w:tcBorders>
              <w:start w:val="single" w:sz="2" w:space="0" w:color="000000"/>
              <w:bottom w:val="single" w:sz="2" w:space="0" w:color="000000"/>
            </w:tcBorders>
            <w:shd w:fill="ACB20C" w:val="clear"/>
            <w:vAlign w:val="center"/>
          </w:tcPr>
          <w:p>
            <w:pPr>
              <w:pStyle w:val="Normal"/>
              <w:rPr/>
            </w:pPr>
            <w:r>
              <w:rPr/>
            </w:r>
          </w:p>
        </w:tc>
        <w:tc>
          <w:tcPr>
            <w:tcW w:w="3090" w:type="dxa"/>
            <w:vMerge w:val="continue"/>
            <w:tcBorders>
              <w:start w:val="single" w:sz="2" w:space="0" w:color="000000"/>
              <w:bottom w:val="single" w:sz="2" w:space="0" w:color="000000"/>
            </w:tcBorders>
            <w:shd w:fill="FFDE59" w:val="clear"/>
            <w:vAlign w:val="center"/>
          </w:tcPr>
          <w:p>
            <w:pPr>
              <w:pStyle w:val="Normal"/>
              <w:rPr/>
            </w:pPr>
            <w:r>
              <w:rPr/>
            </w:r>
          </w:p>
        </w:tc>
        <w:tc>
          <w:tcPr>
            <w:tcW w:w="2718" w:type="dxa"/>
            <w:tcBorders>
              <w:start w:val="single" w:sz="2" w:space="0" w:color="000000"/>
              <w:bottom w:val="single" w:sz="2" w:space="0" w:color="000000"/>
            </w:tcBorders>
            <w:shd w:fill="E6E905" w:val="clear"/>
            <w:vAlign w:val="center"/>
          </w:tcPr>
          <w:p>
            <w:pPr>
              <w:pStyle w:val="Zawartotabeli"/>
              <w:jc w:val="center"/>
              <w:rPr>
                <w:rFonts w:ascii="Calibri" w:hAnsi="Calibri"/>
              </w:rPr>
            </w:pPr>
            <w:r>
              <w:rPr>
                <w:rFonts w:ascii="Calibri" w:hAnsi="Calibri"/>
              </w:rPr>
              <w:t xml:space="preserve">posiłki w szkołach </w:t>
              <w:br/>
              <w:t>i przedszkolach:</w:t>
            </w:r>
          </w:p>
          <w:p>
            <w:pPr>
              <w:pStyle w:val="Zawartotabeli"/>
              <w:jc w:val="center"/>
              <w:rPr>
                <w:rFonts w:ascii="Calibri" w:hAnsi="Calibri"/>
              </w:rPr>
            </w:pPr>
            <w:r>
              <w:rPr>
                <w:rFonts w:ascii="Calibri" w:hAnsi="Calibri"/>
              </w:rPr>
              <w:t>- dotacja celowa - 148 834,30 zł</w:t>
            </w:r>
          </w:p>
          <w:p>
            <w:pPr>
              <w:pStyle w:val="Zawartotabeli"/>
              <w:jc w:val="center"/>
              <w:rPr>
                <w:rFonts w:ascii="Calibri" w:hAnsi="Calibri"/>
              </w:rPr>
            </w:pPr>
            <w:r>
              <w:rPr>
                <w:rFonts w:ascii="Calibri" w:hAnsi="Calibri"/>
              </w:rPr>
              <w:t>- środki własne -     69 597,20 zł</w:t>
            </w:r>
          </w:p>
        </w:tc>
        <w:tc>
          <w:tcPr>
            <w:tcW w:w="1742" w:type="dxa"/>
            <w:tcBorders>
              <w:start w:val="single" w:sz="2" w:space="0" w:color="000000"/>
              <w:bottom w:val="single" w:sz="2" w:space="0" w:color="000000"/>
              <w:end w:val="single" w:sz="2" w:space="0" w:color="000000"/>
            </w:tcBorders>
            <w:shd w:fill="5EB91E" w:val="clear"/>
            <w:vAlign w:val="center"/>
          </w:tcPr>
          <w:p>
            <w:pPr>
              <w:pStyle w:val="Zawartotabeli"/>
              <w:jc w:val="center"/>
              <w:rPr>
                <w:rFonts w:ascii="Calibri" w:hAnsi="Calibri"/>
              </w:rPr>
            </w:pPr>
            <w:r>
              <w:rPr>
                <w:rFonts w:ascii="Calibri" w:hAnsi="Calibri"/>
              </w:rPr>
              <w:t>218 431,50 zł</w:t>
            </w:r>
          </w:p>
        </w:tc>
      </w:tr>
      <w:tr>
        <w:trPr/>
        <w:tc>
          <w:tcPr>
            <w:tcW w:w="450" w:type="dxa"/>
            <w:vMerge w:val="continue"/>
            <w:tcBorders>
              <w:start w:val="single" w:sz="2" w:space="0" w:color="000000"/>
              <w:bottom w:val="single" w:sz="2" w:space="0" w:color="000000"/>
            </w:tcBorders>
            <w:shd w:fill="FFBF00" w:val="clear"/>
            <w:vAlign w:val="center"/>
          </w:tcPr>
          <w:p>
            <w:pPr>
              <w:pStyle w:val="Normal"/>
              <w:rPr/>
            </w:pPr>
            <w:r>
              <w:rPr/>
            </w:r>
          </w:p>
        </w:tc>
        <w:tc>
          <w:tcPr>
            <w:tcW w:w="1450" w:type="dxa"/>
            <w:vMerge w:val="continue"/>
            <w:tcBorders>
              <w:start w:val="single" w:sz="2" w:space="0" w:color="000000"/>
              <w:bottom w:val="single" w:sz="2" w:space="0" w:color="000000"/>
            </w:tcBorders>
            <w:shd w:fill="ACB20C" w:val="clear"/>
            <w:vAlign w:val="center"/>
          </w:tcPr>
          <w:p>
            <w:pPr>
              <w:pStyle w:val="Normal"/>
              <w:rPr/>
            </w:pPr>
            <w:r>
              <w:rPr/>
            </w:r>
          </w:p>
        </w:tc>
        <w:tc>
          <w:tcPr>
            <w:tcW w:w="3090" w:type="dxa"/>
            <w:vMerge w:val="continue"/>
            <w:tcBorders>
              <w:start w:val="single" w:sz="2" w:space="0" w:color="000000"/>
              <w:bottom w:val="single" w:sz="2" w:space="0" w:color="000000"/>
            </w:tcBorders>
            <w:shd w:fill="FFDE59" w:val="clear"/>
            <w:vAlign w:val="center"/>
          </w:tcPr>
          <w:p>
            <w:pPr>
              <w:pStyle w:val="Normal"/>
              <w:rPr/>
            </w:pPr>
            <w:r>
              <w:rPr/>
            </w:r>
          </w:p>
        </w:tc>
        <w:tc>
          <w:tcPr>
            <w:tcW w:w="2718" w:type="dxa"/>
            <w:tcBorders>
              <w:start w:val="single" w:sz="2" w:space="0" w:color="000000"/>
              <w:bottom w:val="single" w:sz="2" w:space="0" w:color="000000"/>
            </w:tcBorders>
            <w:shd w:fill="E6E905" w:val="clear"/>
            <w:vAlign w:val="center"/>
          </w:tcPr>
          <w:p>
            <w:pPr>
              <w:pStyle w:val="Zawartotabeli"/>
              <w:jc w:val="center"/>
              <w:rPr>
                <w:rFonts w:ascii="Calibri" w:hAnsi="Calibri"/>
              </w:rPr>
            </w:pPr>
            <w:r>
              <w:rPr>
                <w:rFonts w:ascii="Calibri" w:hAnsi="Calibri"/>
              </w:rPr>
              <w:t>posiłki dla dorosłych:</w:t>
            </w:r>
          </w:p>
          <w:p>
            <w:pPr>
              <w:pStyle w:val="Zawartotabeli"/>
              <w:jc w:val="center"/>
              <w:rPr>
                <w:rFonts w:ascii="Calibri" w:hAnsi="Calibri"/>
              </w:rPr>
            </w:pPr>
            <w:r>
              <w:rPr>
                <w:rFonts w:ascii="Calibri" w:hAnsi="Calibri"/>
              </w:rPr>
              <w:t>- dotacja celowa - 767 460,89 zł</w:t>
            </w:r>
          </w:p>
          <w:p>
            <w:pPr>
              <w:pStyle w:val="Zawartotabeli"/>
              <w:jc w:val="center"/>
              <w:rPr>
                <w:rFonts w:ascii="Calibri" w:hAnsi="Calibri"/>
              </w:rPr>
            </w:pPr>
            <w:r>
              <w:rPr>
                <w:rFonts w:ascii="Calibri" w:hAnsi="Calibri"/>
              </w:rPr>
              <w:t>- środki własne -   194 418,13 zł</w:t>
            </w:r>
          </w:p>
        </w:tc>
        <w:tc>
          <w:tcPr>
            <w:tcW w:w="1742" w:type="dxa"/>
            <w:tcBorders>
              <w:start w:val="single" w:sz="2" w:space="0" w:color="000000"/>
              <w:bottom w:val="single" w:sz="2" w:space="0" w:color="000000"/>
              <w:end w:val="single" w:sz="2" w:space="0" w:color="000000"/>
            </w:tcBorders>
            <w:shd w:fill="5EB91E" w:val="clear"/>
            <w:vAlign w:val="center"/>
          </w:tcPr>
          <w:p>
            <w:pPr>
              <w:pStyle w:val="Zawartotabeli"/>
              <w:jc w:val="center"/>
              <w:rPr>
                <w:rFonts w:ascii="Calibri" w:hAnsi="Calibri"/>
              </w:rPr>
            </w:pPr>
            <w:r>
              <w:rPr>
                <w:rFonts w:ascii="Calibri" w:hAnsi="Calibri"/>
              </w:rPr>
              <w:t>961 879,02 zł</w:t>
            </w:r>
          </w:p>
        </w:tc>
      </w:tr>
      <w:tr>
        <w:trPr/>
        <w:tc>
          <w:tcPr>
            <w:tcW w:w="450" w:type="dxa"/>
            <w:vMerge w:val="continue"/>
            <w:tcBorders>
              <w:start w:val="single" w:sz="2" w:space="0" w:color="000000"/>
              <w:bottom w:val="single" w:sz="2" w:space="0" w:color="000000"/>
            </w:tcBorders>
            <w:shd w:fill="FFBF00" w:val="clear"/>
            <w:vAlign w:val="center"/>
          </w:tcPr>
          <w:p>
            <w:pPr>
              <w:pStyle w:val="Normal"/>
              <w:rPr/>
            </w:pPr>
            <w:r>
              <w:rPr/>
            </w:r>
          </w:p>
        </w:tc>
        <w:tc>
          <w:tcPr>
            <w:tcW w:w="1450" w:type="dxa"/>
            <w:vMerge w:val="continue"/>
            <w:tcBorders>
              <w:start w:val="single" w:sz="2" w:space="0" w:color="000000"/>
              <w:bottom w:val="single" w:sz="2" w:space="0" w:color="000000"/>
            </w:tcBorders>
            <w:shd w:fill="ACB20C" w:val="clear"/>
            <w:vAlign w:val="center"/>
          </w:tcPr>
          <w:p>
            <w:pPr>
              <w:pStyle w:val="Normal"/>
              <w:rPr/>
            </w:pPr>
            <w:r>
              <w:rPr/>
            </w:r>
          </w:p>
        </w:tc>
        <w:tc>
          <w:tcPr>
            <w:tcW w:w="3090" w:type="dxa"/>
            <w:vMerge w:val="continue"/>
            <w:tcBorders>
              <w:start w:val="single" w:sz="2" w:space="0" w:color="000000"/>
              <w:bottom w:val="single" w:sz="2" w:space="0" w:color="000000"/>
            </w:tcBorders>
            <w:shd w:fill="FFDE59" w:val="clear"/>
            <w:vAlign w:val="center"/>
          </w:tcPr>
          <w:p>
            <w:pPr>
              <w:pStyle w:val="Normal"/>
              <w:rPr/>
            </w:pPr>
            <w:r>
              <w:rPr/>
            </w:r>
          </w:p>
        </w:tc>
        <w:tc>
          <w:tcPr>
            <w:tcW w:w="2718" w:type="dxa"/>
            <w:tcBorders>
              <w:start w:val="single" w:sz="2" w:space="0" w:color="000000"/>
              <w:bottom w:val="single" w:sz="2" w:space="0" w:color="000000"/>
            </w:tcBorders>
            <w:shd w:fill="E6E905" w:val="clear"/>
            <w:vAlign w:val="center"/>
          </w:tcPr>
          <w:p>
            <w:pPr>
              <w:pStyle w:val="Zawartotabeli"/>
              <w:jc w:val="center"/>
              <w:rPr>
                <w:rFonts w:ascii="Calibri" w:hAnsi="Calibri"/>
              </w:rPr>
            </w:pPr>
            <w:r>
              <w:rPr>
                <w:rFonts w:ascii="Calibri" w:hAnsi="Calibri"/>
              </w:rPr>
              <w:t>zasiłki celowe:</w:t>
            </w:r>
          </w:p>
          <w:p>
            <w:pPr>
              <w:pStyle w:val="Zawartotabeli"/>
              <w:jc w:val="center"/>
              <w:rPr>
                <w:rFonts w:ascii="Calibri" w:hAnsi="Calibri"/>
              </w:rPr>
            </w:pPr>
            <w:r>
              <w:rPr>
                <w:rFonts w:ascii="Calibri" w:hAnsi="Calibri"/>
              </w:rPr>
              <w:t>- dotacja celowa - 203 344,33 zł</w:t>
            </w:r>
          </w:p>
          <w:p>
            <w:pPr>
              <w:pStyle w:val="Zawartotabeli"/>
              <w:jc w:val="center"/>
              <w:rPr>
                <w:rFonts w:ascii="Calibri" w:hAnsi="Calibri"/>
              </w:rPr>
            </w:pPr>
            <w:r>
              <w:rPr>
                <w:rFonts w:ascii="Calibri" w:hAnsi="Calibri"/>
              </w:rPr>
              <w:t>- środki własne -     15 895,67 zł</w:t>
            </w:r>
          </w:p>
        </w:tc>
        <w:tc>
          <w:tcPr>
            <w:tcW w:w="1742" w:type="dxa"/>
            <w:tcBorders>
              <w:start w:val="single" w:sz="2" w:space="0" w:color="000000"/>
              <w:bottom w:val="single" w:sz="2" w:space="0" w:color="000000"/>
              <w:end w:val="single" w:sz="2" w:space="0" w:color="000000"/>
            </w:tcBorders>
            <w:shd w:fill="5EB91E" w:val="clear"/>
            <w:vAlign w:val="center"/>
          </w:tcPr>
          <w:p>
            <w:pPr>
              <w:pStyle w:val="Zawartotabeli"/>
              <w:jc w:val="center"/>
              <w:rPr>
                <w:rFonts w:ascii="Calibri" w:hAnsi="Calibri"/>
              </w:rPr>
            </w:pPr>
            <w:r>
              <w:rPr>
                <w:rFonts w:ascii="Calibri" w:hAnsi="Calibri"/>
              </w:rPr>
              <w:t>219 240,00 zł</w:t>
            </w:r>
          </w:p>
        </w:tc>
      </w:tr>
      <w:tr>
        <w:trPr>
          <w:trHeight w:val="896" w:hRule="atLeast"/>
        </w:trPr>
        <w:tc>
          <w:tcPr>
            <w:tcW w:w="450" w:type="dxa"/>
            <w:tcBorders>
              <w:start w:val="single" w:sz="2" w:space="0" w:color="000000"/>
              <w:bottom w:val="single" w:sz="2" w:space="0" w:color="000000"/>
            </w:tcBorders>
            <w:shd w:fill="FFBF00" w:val="clear"/>
            <w:vAlign w:val="center"/>
          </w:tcPr>
          <w:p>
            <w:pPr>
              <w:pStyle w:val="Zawartotabeli"/>
              <w:jc w:val="center"/>
              <w:rPr>
                <w:rFonts w:ascii="Calibri" w:hAnsi="Calibri"/>
                <w:b/>
                <w:bCs/>
              </w:rPr>
            </w:pPr>
            <w:r>
              <w:rPr>
                <w:rFonts w:ascii="Calibri" w:hAnsi="Calibri"/>
                <w:b/>
                <w:bCs/>
              </w:rPr>
              <w:t>17.</w:t>
            </w:r>
          </w:p>
        </w:tc>
        <w:tc>
          <w:tcPr>
            <w:tcW w:w="1450" w:type="dxa"/>
            <w:tcBorders>
              <w:start w:val="single" w:sz="2" w:space="0" w:color="000000"/>
              <w:bottom w:val="single" w:sz="2" w:space="0" w:color="000000"/>
            </w:tcBorders>
            <w:shd w:fill="ACB20C" w:val="clear"/>
            <w:vAlign w:val="center"/>
          </w:tcPr>
          <w:p>
            <w:pPr>
              <w:pStyle w:val="Zawartotabeli"/>
              <w:jc w:val="center"/>
              <w:rPr>
                <w:rFonts w:ascii="Calibri" w:hAnsi="Calibri"/>
                <w:b/>
                <w:bCs/>
              </w:rPr>
            </w:pPr>
            <w:r>
              <w:rPr>
                <w:rFonts w:ascii="Calibri" w:hAnsi="Calibri"/>
                <w:b/>
                <w:bCs/>
              </w:rPr>
              <w:t>85230</w:t>
            </w:r>
          </w:p>
        </w:tc>
        <w:tc>
          <w:tcPr>
            <w:tcW w:w="3090" w:type="dxa"/>
            <w:tcBorders>
              <w:start w:val="single" w:sz="2" w:space="0" w:color="000000"/>
              <w:bottom w:val="single" w:sz="2" w:space="0" w:color="000000"/>
            </w:tcBorders>
            <w:shd w:fill="FFDE59" w:val="clear"/>
            <w:vAlign w:val="center"/>
          </w:tcPr>
          <w:p>
            <w:pPr>
              <w:pStyle w:val="Zawartotabeli"/>
              <w:jc w:val="center"/>
              <w:rPr>
                <w:rFonts w:ascii="Calibri" w:hAnsi="Calibri"/>
                <w:b/>
                <w:bCs/>
              </w:rPr>
            </w:pPr>
            <w:r>
              <w:rPr>
                <w:rFonts w:ascii="Calibri" w:hAnsi="Calibri"/>
                <w:b/>
                <w:bCs/>
              </w:rPr>
              <w:t>Fundusz Pomocy Ukrainie - pomoc w zakresie dożywiania</w:t>
            </w:r>
          </w:p>
        </w:tc>
        <w:tc>
          <w:tcPr>
            <w:tcW w:w="2718" w:type="dxa"/>
            <w:tcBorders>
              <w:start w:val="single" w:sz="2" w:space="0" w:color="000000"/>
              <w:bottom w:val="single" w:sz="2" w:space="0" w:color="000000"/>
            </w:tcBorders>
            <w:shd w:fill="E6E905" w:val="clear"/>
            <w:vAlign w:val="center"/>
          </w:tcPr>
          <w:p>
            <w:pPr>
              <w:pStyle w:val="Zawartotabeli"/>
              <w:jc w:val="center"/>
              <w:rPr>
                <w:rFonts w:ascii="Calibri" w:hAnsi="Calibri"/>
              </w:rPr>
            </w:pPr>
            <w:r>
              <w:rPr>
                <w:rFonts w:ascii="Calibri" w:hAnsi="Calibri"/>
              </w:rPr>
            </w:r>
          </w:p>
        </w:tc>
        <w:tc>
          <w:tcPr>
            <w:tcW w:w="1742" w:type="dxa"/>
            <w:tcBorders>
              <w:start w:val="single" w:sz="2" w:space="0" w:color="000000"/>
              <w:bottom w:val="single" w:sz="2" w:space="0" w:color="000000"/>
              <w:end w:val="single" w:sz="2" w:space="0" w:color="000000"/>
            </w:tcBorders>
            <w:shd w:fill="5EB91E" w:val="clear"/>
            <w:vAlign w:val="center"/>
          </w:tcPr>
          <w:p>
            <w:pPr>
              <w:pStyle w:val="Zawartotabeli"/>
              <w:jc w:val="center"/>
              <w:rPr>
                <w:rFonts w:ascii="Calibri" w:hAnsi="Calibri"/>
                <w:b/>
                <w:bCs/>
              </w:rPr>
            </w:pPr>
            <w:r>
              <w:rPr>
                <w:rFonts w:ascii="Calibri" w:hAnsi="Calibri"/>
                <w:b/>
                <w:bCs/>
              </w:rPr>
              <w:t>10 811,50 zł</w:t>
            </w:r>
          </w:p>
        </w:tc>
      </w:tr>
      <w:tr>
        <w:trPr/>
        <w:tc>
          <w:tcPr>
            <w:tcW w:w="450" w:type="dxa"/>
            <w:vMerge w:val="restart"/>
            <w:tcBorders>
              <w:start w:val="single" w:sz="2" w:space="0" w:color="000000"/>
              <w:bottom w:val="single" w:sz="2" w:space="0" w:color="000000"/>
            </w:tcBorders>
            <w:shd w:fill="FFBF00" w:val="clear"/>
            <w:vAlign w:val="center"/>
          </w:tcPr>
          <w:p>
            <w:pPr>
              <w:pStyle w:val="Zawartotabeli"/>
              <w:jc w:val="center"/>
              <w:rPr>
                <w:rFonts w:ascii="Calibri" w:hAnsi="Calibri"/>
                <w:b/>
                <w:bCs/>
              </w:rPr>
            </w:pPr>
            <w:r>
              <w:rPr>
                <w:rFonts w:ascii="Calibri" w:hAnsi="Calibri"/>
                <w:b/>
                <w:bCs/>
              </w:rPr>
              <w:t>18.</w:t>
            </w:r>
          </w:p>
        </w:tc>
        <w:tc>
          <w:tcPr>
            <w:tcW w:w="1450" w:type="dxa"/>
            <w:vMerge w:val="restart"/>
            <w:tcBorders>
              <w:start w:val="single" w:sz="2" w:space="0" w:color="000000"/>
              <w:bottom w:val="single" w:sz="2" w:space="0" w:color="000000"/>
            </w:tcBorders>
            <w:shd w:fill="ACB20C" w:val="clear"/>
            <w:vAlign w:val="center"/>
          </w:tcPr>
          <w:p>
            <w:pPr>
              <w:pStyle w:val="Zawartotabeli"/>
              <w:jc w:val="center"/>
              <w:rPr>
                <w:rFonts w:ascii="Calibri" w:hAnsi="Calibri"/>
                <w:b/>
                <w:bCs/>
              </w:rPr>
            </w:pPr>
            <w:r>
              <w:rPr>
                <w:rFonts w:ascii="Calibri" w:hAnsi="Calibri"/>
                <w:b/>
                <w:bCs/>
              </w:rPr>
              <w:t>85295</w:t>
            </w:r>
          </w:p>
        </w:tc>
        <w:tc>
          <w:tcPr>
            <w:tcW w:w="3090" w:type="dxa"/>
            <w:vMerge w:val="restart"/>
            <w:tcBorders>
              <w:start w:val="single" w:sz="2" w:space="0" w:color="000000"/>
              <w:bottom w:val="single" w:sz="2" w:space="0" w:color="000000"/>
            </w:tcBorders>
            <w:shd w:fill="FFDE59" w:val="clear"/>
            <w:vAlign w:val="center"/>
          </w:tcPr>
          <w:p>
            <w:pPr>
              <w:pStyle w:val="Zawartotabeli"/>
              <w:jc w:val="center"/>
              <w:rPr>
                <w:rFonts w:ascii="Calibri" w:hAnsi="Calibri"/>
                <w:b/>
                <w:bCs/>
              </w:rPr>
            </w:pPr>
            <w:r>
              <w:rPr>
                <w:rFonts w:ascii="Calibri" w:hAnsi="Calibri"/>
                <w:b/>
                <w:bCs/>
              </w:rPr>
              <w:t>Pozostała działalność</w:t>
            </w:r>
          </w:p>
        </w:tc>
        <w:tc>
          <w:tcPr>
            <w:tcW w:w="2718" w:type="dxa"/>
            <w:tcBorders>
              <w:start w:val="single" w:sz="2" w:space="0" w:color="000000"/>
              <w:bottom w:val="single" w:sz="2" w:space="0" w:color="000000"/>
            </w:tcBorders>
            <w:shd w:fill="E6E905" w:val="clear"/>
            <w:vAlign w:val="center"/>
          </w:tcPr>
          <w:p>
            <w:pPr>
              <w:pStyle w:val="Zawartotabeli"/>
              <w:jc w:val="center"/>
              <w:rPr>
                <w:rFonts w:ascii="Calibri" w:hAnsi="Calibri"/>
              </w:rPr>
            </w:pPr>
            <w:r>
              <w:rPr>
                <w:rFonts w:ascii="Calibri" w:hAnsi="Calibri"/>
              </w:rPr>
            </w:r>
          </w:p>
        </w:tc>
        <w:tc>
          <w:tcPr>
            <w:tcW w:w="1742" w:type="dxa"/>
            <w:tcBorders>
              <w:start w:val="single" w:sz="2" w:space="0" w:color="000000"/>
              <w:bottom w:val="single" w:sz="2" w:space="0" w:color="000000"/>
              <w:end w:val="single" w:sz="2" w:space="0" w:color="000000"/>
            </w:tcBorders>
            <w:shd w:fill="5EB91E" w:val="clear"/>
            <w:vAlign w:val="center"/>
          </w:tcPr>
          <w:p>
            <w:pPr>
              <w:pStyle w:val="Zawartotabeli"/>
              <w:jc w:val="center"/>
              <w:rPr>
                <w:rFonts w:ascii="Calibri" w:hAnsi="Calibri"/>
                <w:b/>
                <w:bCs/>
              </w:rPr>
            </w:pPr>
            <w:r>
              <w:rPr>
                <w:rFonts w:ascii="Calibri" w:hAnsi="Calibri"/>
                <w:b/>
                <w:bCs/>
              </w:rPr>
              <w:t>326 506,91 zł</w:t>
            </w:r>
          </w:p>
        </w:tc>
      </w:tr>
      <w:tr>
        <w:trPr/>
        <w:tc>
          <w:tcPr>
            <w:tcW w:w="450" w:type="dxa"/>
            <w:vMerge w:val="continue"/>
            <w:tcBorders>
              <w:start w:val="single" w:sz="2" w:space="0" w:color="000000"/>
              <w:bottom w:val="single" w:sz="2" w:space="0" w:color="000000"/>
            </w:tcBorders>
            <w:shd w:fill="FFBF00" w:val="clear"/>
            <w:vAlign w:val="center"/>
          </w:tcPr>
          <w:p>
            <w:pPr>
              <w:pStyle w:val="Normal"/>
              <w:rPr/>
            </w:pPr>
            <w:r>
              <w:rPr/>
            </w:r>
          </w:p>
        </w:tc>
        <w:tc>
          <w:tcPr>
            <w:tcW w:w="1450" w:type="dxa"/>
            <w:vMerge w:val="continue"/>
            <w:tcBorders>
              <w:start w:val="single" w:sz="2" w:space="0" w:color="000000"/>
              <w:bottom w:val="single" w:sz="2" w:space="0" w:color="000000"/>
            </w:tcBorders>
            <w:shd w:fill="ACB20C" w:val="clear"/>
            <w:vAlign w:val="center"/>
          </w:tcPr>
          <w:p>
            <w:pPr>
              <w:pStyle w:val="Normal"/>
              <w:rPr/>
            </w:pPr>
            <w:r>
              <w:rPr/>
            </w:r>
          </w:p>
        </w:tc>
        <w:tc>
          <w:tcPr>
            <w:tcW w:w="3090" w:type="dxa"/>
            <w:vMerge w:val="continue"/>
            <w:tcBorders>
              <w:start w:val="single" w:sz="2" w:space="0" w:color="000000"/>
              <w:bottom w:val="single" w:sz="2" w:space="0" w:color="000000"/>
            </w:tcBorders>
            <w:shd w:fill="FFDE59" w:val="clear"/>
            <w:vAlign w:val="center"/>
          </w:tcPr>
          <w:p>
            <w:pPr>
              <w:pStyle w:val="Normal"/>
              <w:rPr/>
            </w:pPr>
            <w:r>
              <w:rPr/>
            </w:r>
          </w:p>
        </w:tc>
        <w:tc>
          <w:tcPr>
            <w:tcW w:w="2718" w:type="dxa"/>
            <w:tcBorders>
              <w:start w:val="single" w:sz="2" w:space="0" w:color="000000"/>
              <w:bottom w:val="single" w:sz="2" w:space="0" w:color="000000"/>
            </w:tcBorders>
            <w:shd w:fill="E6E905" w:val="clear"/>
            <w:vAlign w:val="center"/>
          </w:tcPr>
          <w:p>
            <w:pPr>
              <w:pStyle w:val="Zawartotabeli"/>
              <w:jc w:val="center"/>
              <w:rPr>
                <w:rFonts w:ascii="Calibri" w:hAnsi="Calibri"/>
              </w:rPr>
            </w:pPr>
            <w:r>
              <w:rPr>
                <w:rFonts w:ascii="Calibri" w:hAnsi="Calibri"/>
              </w:rPr>
              <w:t>prace społecznie użyteczne</w:t>
            </w:r>
          </w:p>
        </w:tc>
        <w:tc>
          <w:tcPr>
            <w:tcW w:w="1742" w:type="dxa"/>
            <w:tcBorders>
              <w:start w:val="single" w:sz="2" w:space="0" w:color="000000"/>
              <w:bottom w:val="single" w:sz="2" w:space="0" w:color="000000"/>
              <w:end w:val="single" w:sz="2" w:space="0" w:color="000000"/>
            </w:tcBorders>
            <w:shd w:fill="5EB91E" w:val="clear"/>
            <w:vAlign w:val="center"/>
          </w:tcPr>
          <w:p>
            <w:pPr>
              <w:pStyle w:val="Zawartotabeli"/>
              <w:jc w:val="center"/>
              <w:rPr>
                <w:rFonts w:ascii="Calibri" w:hAnsi="Calibri"/>
              </w:rPr>
            </w:pPr>
            <w:r>
              <w:rPr>
                <w:rFonts w:ascii="Calibri" w:hAnsi="Calibri"/>
              </w:rPr>
              <w:t>131 125,60 zł</w:t>
            </w:r>
          </w:p>
        </w:tc>
      </w:tr>
      <w:tr>
        <w:trPr/>
        <w:tc>
          <w:tcPr>
            <w:tcW w:w="450" w:type="dxa"/>
            <w:vMerge w:val="continue"/>
            <w:tcBorders>
              <w:start w:val="single" w:sz="2" w:space="0" w:color="000000"/>
              <w:bottom w:val="single" w:sz="2" w:space="0" w:color="000000"/>
            </w:tcBorders>
            <w:shd w:fill="FFBF00" w:val="clear"/>
            <w:vAlign w:val="center"/>
          </w:tcPr>
          <w:p>
            <w:pPr>
              <w:pStyle w:val="Normal"/>
              <w:rPr/>
            </w:pPr>
            <w:r>
              <w:rPr/>
            </w:r>
          </w:p>
        </w:tc>
        <w:tc>
          <w:tcPr>
            <w:tcW w:w="1450" w:type="dxa"/>
            <w:vMerge w:val="continue"/>
            <w:tcBorders>
              <w:start w:val="single" w:sz="2" w:space="0" w:color="000000"/>
              <w:bottom w:val="single" w:sz="2" w:space="0" w:color="000000"/>
            </w:tcBorders>
            <w:shd w:fill="ACB20C" w:val="clear"/>
            <w:vAlign w:val="center"/>
          </w:tcPr>
          <w:p>
            <w:pPr>
              <w:pStyle w:val="Normal"/>
              <w:rPr/>
            </w:pPr>
            <w:r>
              <w:rPr/>
            </w:r>
          </w:p>
        </w:tc>
        <w:tc>
          <w:tcPr>
            <w:tcW w:w="3090" w:type="dxa"/>
            <w:vMerge w:val="continue"/>
            <w:tcBorders>
              <w:start w:val="single" w:sz="2" w:space="0" w:color="000000"/>
              <w:bottom w:val="single" w:sz="2" w:space="0" w:color="000000"/>
            </w:tcBorders>
            <w:shd w:fill="FFDE59" w:val="clear"/>
            <w:vAlign w:val="center"/>
          </w:tcPr>
          <w:p>
            <w:pPr>
              <w:pStyle w:val="Normal"/>
              <w:rPr/>
            </w:pPr>
            <w:r>
              <w:rPr/>
            </w:r>
          </w:p>
        </w:tc>
        <w:tc>
          <w:tcPr>
            <w:tcW w:w="2718" w:type="dxa"/>
            <w:tcBorders>
              <w:start w:val="single" w:sz="2" w:space="0" w:color="000000"/>
              <w:bottom w:val="single" w:sz="2" w:space="0" w:color="000000"/>
            </w:tcBorders>
            <w:shd w:fill="E6E905" w:val="clear"/>
            <w:vAlign w:val="center"/>
          </w:tcPr>
          <w:p>
            <w:pPr>
              <w:pStyle w:val="Zawartotabeli"/>
              <w:jc w:val="center"/>
              <w:rPr>
                <w:rFonts w:ascii="Calibri" w:hAnsi="Calibri"/>
              </w:rPr>
            </w:pPr>
            <w:r>
              <w:rPr>
                <w:rFonts w:ascii="Calibri" w:hAnsi="Calibri"/>
              </w:rPr>
              <w:t xml:space="preserve">wynagrodzenia </w:t>
              <w:br/>
              <w:t>i pochodne</w:t>
            </w:r>
          </w:p>
        </w:tc>
        <w:tc>
          <w:tcPr>
            <w:tcW w:w="1742" w:type="dxa"/>
            <w:tcBorders>
              <w:start w:val="single" w:sz="2" w:space="0" w:color="000000"/>
              <w:bottom w:val="single" w:sz="2" w:space="0" w:color="000000"/>
              <w:end w:val="single" w:sz="2" w:space="0" w:color="000000"/>
            </w:tcBorders>
            <w:shd w:fill="5EB91E" w:val="clear"/>
            <w:vAlign w:val="center"/>
          </w:tcPr>
          <w:p>
            <w:pPr>
              <w:pStyle w:val="Zawartotabeli"/>
              <w:jc w:val="center"/>
              <w:rPr>
                <w:rFonts w:ascii="Calibri" w:hAnsi="Calibri"/>
              </w:rPr>
            </w:pPr>
            <w:r>
              <w:rPr>
                <w:rFonts w:ascii="Calibri" w:hAnsi="Calibri"/>
              </w:rPr>
              <w:t>49 125,01 zł</w:t>
            </w:r>
          </w:p>
        </w:tc>
      </w:tr>
      <w:tr>
        <w:trPr/>
        <w:tc>
          <w:tcPr>
            <w:tcW w:w="450" w:type="dxa"/>
            <w:vMerge w:val="continue"/>
            <w:tcBorders>
              <w:start w:val="single" w:sz="2" w:space="0" w:color="000000"/>
              <w:bottom w:val="single" w:sz="2" w:space="0" w:color="000000"/>
            </w:tcBorders>
            <w:shd w:fill="FFBF00" w:val="clear"/>
            <w:vAlign w:val="center"/>
          </w:tcPr>
          <w:p>
            <w:pPr>
              <w:pStyle w:val="Normal"/>
              <w:rPr/>
            </w:pPr>
            <w:r>
              <w:rPr/>
            </w:r>
          </w:p>
        </w:tc>
        <w:tc>
          <w:tcPr>
            <w:tcW w:w="1450" w:type="dxa"/>
            <w:vMerge w:val="continue"/>
            <w:tcBorders>
              <w:start w:val="single" w:sz="2" w:space="0" w:color="000000"/>
              <w:bottom w:val="single" w:sz="2" w:space="0" w:color="000000"/>
            </w:tcBorders>
            <w:shd w:fill="ACB20C" w:val="clear"/>
            <w:vAlign w:val="center"/>
          </w:tcPr>
          <w:p>
            <w:pPr>
              <w:pStyle w:val="Normal"/>
              <w:rPr/>
            </w:pPr>
            <w:r>
              <w:rPr/>
            </w:r>
          </w:p>
        </w:tc>
        <w:tc>
          <w:tcPr>
            <w:tcW w:w="3090" w:type="dxa"/>
            <w:vMerge w:val="continue"/>
            <w:tcBorders>
              <w:start w:val="single" w:sz="2" w:space="0" w:color="000000"/>
              <w:bottom w:val="single" w:sz="2" w:space="0" w:color="000000"/>
            </w:tcBorders>
            <w:shd w:fill="FFDE59" w:val="clear"/>
            <w:vAlign w:val="center"/>
          </w:tcPr>
          <w:p>
            <w:pPr>
              <w:pStyle w:val="Normal"/>
              <w:rPr/>
            </w:pPr>
            <w:r>
              <w:rPr/>
            </w:r>
          </w:p>
        </w:tc>
        <w:tc>
          <w:tcPr>
            <w:tcW w:w="2718" w:type="dxa"/>
            <w:tcBorders>
              <w:start w:val="single" w:sz="2" w:space="0" w:color="000000"/>
              <w:bottom w:val="single" w:sz="2" w:space="0" w:color="000000"/>
            </w:tcBorders>
            <w:shd w:fill="E6E905" w:val="clear"/>
            <w:vAlign w:val="center"/>
          </w:tcPr>
          <w:p>
            <w:pPr>
              <w:pStyle w:val="Zawartotabeli"/>
              <w:jc w:val="center"/>
              <w:rPr>
                <w:rFonts w:ascii="Calibri" w:hAnsi="Calibri"/>
              </w:rPr>
            </w:pPr>
            <w:r>
              <w:rPr>
                <w:rFonts w:ascii="Calibri" w:hAnsi="Calibri"/>
              </w:rPr>
              <w:t>pozostałe wydatki rzeczowe</w:t>
            </w:r>
          </w:p>
        </w:tc>
        <w:tc>
          <w:tcPr>
            <w:tcW w:w="1742" w:type="dxa"/>
            <w:tcBorders>
              <w:start w:val="single" w:sz="2" w:space="0" w:color="000000"/>
              <w:bottom w:val="single" w:sz="2" w:space="0" w:color="000000"/>
              <w:end w:val="single" w:sz="2" w:space="0" w:color="000000"/>
            </w:tcBorders>
            <w:shd w:fill="5EB91E" w:val="clear"/>
            <w:vAlign w:val="center"/>
          </w:tcPr>
          <w:p>
            <w:pPr>
              <w:pStyle w:val="Zawartotabeli"/>
              <w:jc w:val="center"/>
              <w:rPr>
                <w:rFonts w:ascii="Calibri" w:hAnsi="Calibri"/>
              </w:rPr>
            </w:pPr>
            <w:r>
              <w:rPr>
                <w:rFonts w:ascii="Calibri" w:hAnsi="Calibri"/>
              </w:rPr>
              <w:t>146 256,30 zł</w:t>
            </w:r>
          </w:p>
        </w:tc>
      </w:tr>
      <w:tr>
        <w:trPr/>
        <w:tc>
          <w:tcPr>
            <w:tcW w:w="450" w:type="dxa"/>
            <w:vMerge w:val="restart"/>
            <w:tcBorders>
              <w:start w:val="single" w:sz="2" w:space="0" w:color="000000"/>
              <w:bottom w:val="single" w:sz="2" w:space="0" w:color="000000"/>
            </w:tcBorders>
            <w:shd w:fill="FFBF00" w:val="clear"/>
            <w:vAlign w:val="center"/>
          </w:tcPr>
          <w:p>
            <w:pPr>
              <w:pStyle w:val="Zawartotabeli"/>
              <w:jc w:val="center"/>
              <w:rPr>
                <w:rFonts w:ascii="Calibri" w:hAnsi="Calibri"/>
                <w:b/>
                <w:bCs/>
              </w:rPr>
            </w:pPr>
            <w:r>
              <w:rPr>
                <w:rFonts w:ascii="Calibri" w:hAnsi="Calibri"/>
                <w:b/>
                <w:bCs/>
              </w:rPr>
              <w:t>19.</w:t>
            </w:r>
          </w:p>
        </w:tc>
        <w:tc>
          <w:tcPr>
            <w:tcW w:w="1450" w:type="dxa"/>
            <w:vMerge w:val="restart"/>
            <w:tcBorders>
              <w:start w:val="single" w:sz="2" w:space="0" w:color="000000"/>
              <w:bottom w:val="single" w:sz="2" w:space="0" w:color="000000"/>
            </w:tcBorders>
            <w:shd w:fill="ACB20C" w:val="clear"/>
            <w:vAlign w:val="center"/>
          </w:tcPr>
          <w:p>
            <w:pPr>
              <w:pStyle w:val="Zawartotabeli"/>
              <w:jc w:val="center"/>
              <w:rPr>
                <w:rFonts w:ascii="Calibri" w:hAnsi="Calibri"/>
                <w:b/>
                <w:bCs/>
              </w:rPr>
            </w:pPr>
            <w:r>
              <w:rPr>
                <w:rFonts w:ascii="Calibri" w:hAnsi="Calibri"/>
                <w:b/>
                <w:bCs/>
              </w:rPr>
              <w:t>85295</w:t>
            </w:r>
          </w:p>
        </w:tc>
        <w:tc>
          <w:tcPr>
            <w:tcW w:w="3090" w:type="dxa"/>
            <w:vMerge w:val="restart"/>
            <w:tcBorders>
              <w:start w:val="single" w:sz="2" w:space="0" w:color="000000"/>
              <w:bottom w:val="single" w:sz="2" w:space="0" w:color="000000"/>
            </w:tcBorders>
            <w:shd w:fill="FFDE59" w:val="clear"/>
            <w:vAlign w:val="center"/>
          </w:tcPr>
          <w:p>
            <w:pPr>
              <w:pStyle w:val="Zawartotabeli"/>
              <w:jc w:val="center"/>
              <w:rPr>
                <w:rFonts w:ascii="Calibri" w:hAnsi="Calibri"/>
                <w:b/>
                <w:bCs/>
              </w:rPr>
            </w:pPr>
            <w:r>
              <w:rPr>
                <w:rFonts w:ascii="Calibri" w:hAnsi="Calibri"/>
                <w:b/>
                <w:bCs/>
              </w:rPr>
              <w:t>Korpus Wspieraj Seniora MODUŁ II</w:t>
            </w:r>
          </w:p>
        </w:tc>
        <w:tc>
          <w:tcPr>
            <w:tcW w:w="2718" w:type="dxa"/>
            <w:tcBorders>
              <w:start w:val="single" w:sz="2" w:space="0" w:color="000000"/>
              <w:bottom w:val="single" w:sz="2" w:space="0" w:color="000000"/>
            </w:tcBorders>
            <w:shd w:fill="E6E905" w:val="clear"/>
            <w:vAlign w:val="center"/>
          </w:tcPr>
          <w:p>
            <w:pPr>
              <w:pStyle w:val="Zawartotabeli"/>
              <w:jc w:val="center"/>
              <w:rPr>
                <w:rFonts w:ascii="Calibri" w:hAnsi="Calibri"/>
              </w:rPr>
            </w:pPr>
            <w:r>
              <w:rPr>
                <w:rFonts w:ascii="Calibri" w:hAnsi="Calibri"/>
              </w:rPr>
            </w:r>
          </w:p>
        </w:tc>
        <w:tc>
          <w:tcPr>
            <w:tcW w:w="1742" w:type="dxa"/>
            <w:tcBorders>
              <w:start w:val="single" w:sz="2" w:space="0" w:color="000000"/>
              <w:bottom w:val="single" w:sz="2" w:space="0" w:color="000000"/>
              <w:end w:val="single" w:sz="2" w:space="0" w:color="000000"/>
            </w:tcBorders>
            <w:shd w:fill="5EB91E" w:val="clear"/>
            <w:vAlign w:val="center"/>
          </w:tcPr>
          <w:p>
            <w:pPr>
              <w:pStyle w:val="Zawartotabeli"/>
              <w:jc w:val="center"/>
              <w:rPr>
                <w:rFonts w:ascii="Calibri" w:hAnsi="Calibri"/>
                <w:b/>
                <w:bCs/>
              </w:rPr>
            </w:pPr>
            <w:r>
              <w:rPr>
                <w:rFonts w:ascii="Calibri" w:hAnsi="Calibri"/>
                <w:b/>
                <w:bCs/>
              </w:rPr>
              <w:t>41 752,52 zł</w:t>
            </w:r>
          </w:p>
        </w:tc>
      </w:tr>
      <w:tr>
        <w:trPr/>
        <w:tc>
          <w:tcPr>
            <w:tcW w:w="450" w:type="dxa"/>
            <w:vMerge w:val="continue"/>
            <w:tcBorders>
              <w:start w:val="single" w:sz="2" w:space="0" w:color="000000"/>
              <w:bottom w:val="single" w:sz="2" w:space="0" w:color="000000"/>
            </w:tcBorders>
            <w:shd w:fill="FFBF00" w:val="clear"/>
            <w:vAlign w:val="center"/>
          </w:tcPr>
          <w:p>
            <w:pPr>
              <w:pStyle w:val="Normal"/>
              <w:rPr/>
            </w:pPr>
            <w:r>
              <w:rPr/>
            </w:r>
          </w:p>
        </w:tc>
        <w:tc>
          <w:tcPr>
            <w:tcW w:w="1450" w:type="dxa"/>
            <w:vMerge w:val="continue"/>
            <w:tcBorders>
              <w:start w:val="single" w:sz="2" w:space="0" w:color="000000"/>
              <w:bottom w:val="single" w:sz="2" w:space="0" w:color="000000"/>
            </w:tcBorders>
            <w:shd w:fill="ACB20C" w:val="clear"/>
            <w:vAlign w:val="center"/>
          </w:tcPr>
          <w:p>
            <w:pPr>
              <w:pStyle w:val="Normal"/>
              <w:rPr/>
            </w:pPr>
            <w:r>
              <w:rPr/>
            </w:r>
          </w:p>
        </w:tc>
        <w:tc>
          <w:tcPr>
            <w:tcW w:w="3090" w:type="dxa"/>
            <w:vMerge w:val="continue"/>
            <w:tcBorders>
              <w:start w:val="single" w:sz="2" w:space="0" w:color="000000"/>
              <w:bottom w:val="single" w:sz="2" w:space="0" w:color="000000"/>
            </w:tcBorders>
            <w:shd w:fill="FFDE59" w:val="clear"/>
            <w:vAlign w:val="center"/>
          </w:tcPr>
          <w:p>
            <w:pPr>
              <w:pStyle w:val="Normal"/>
              <w:rPr/>
            </w:pPr>
            <w:r>
              <w:rPr/>
            </w:r>
          </w:p>
        </w:tc>
        <w:tc>
          <w:tcPr>
            <w:tcW w:w="2718" w:type="dxa"/>
            <w:tcBorders>
              <w:start w:val="single" w:sz="2" w:space="0" w:color="000000"/>
              <w:bottom w:val="single" w:sz="2" w:space="0" w:color="000000"/>
            </w:tcBorders>
            <w:shd w:fill="E6E905" w:val="clear"/>
            <w:vAlign w:val="center"/>
          </w:tcPr>
          <w:p>
            <w:pPr>
              <w:pStyle w:val="Zawartotabeli"/>
              <w:jc w:val="center"/>
              <w:rPr>
                <w:rFonts w:ascii="Calibri" w:hAnsi="Calibri"/>
              </w:rPr>
            </w:pPr>
            <w:r>
              <w:rPr>
                <w:rFonts w:ascii="Calibri" w:hAnsi="Calibri"/>
              </w:rPr>
              <w:t xml:space="preserve">wynagrodzenia </w:t>
              <w:br/>
              <w:t>i pochodne</w:t>
              <w:br/>
              <w:t>- środki własne</w:t>
            </w:r>
          </w:p>
        </w:tc>
        <w:tc>
          <w:tcPr>
            <w:tcW w:w="1742" w:type="dxa"/>
            <w:tcBorders>
              <w:start w:val="single" w:sz="2" w:space="0" w:color="000000"/>
              <w:bottom w:val="single" w:sz="2" w:space="0" w:color="000000"/>
              <w:end w:val="single" w:sz="2" w:space="0" w:color="000000"/>
            </w:tcBorders>
            <w:shd w:fill="5EB91E" w:val="clear"/>
            <w:vAlign w:val="center"/>
          </w:tcPr>
          <w:p>
            <w:pPr>
              <w:pStyle w:val="Zawartotabeli"/>
              <w:jc w:val="center"/>
              <w:rPr>
                <w:rFonts w:ascii="Calibri" w:hAnsi="Calibri"/>
              </w:rPr>
            </w:pPr>
            <w:r>
              <w:rPr>
                <w:rFonts w:ascii="Calibri" w:hAnsi="Calibri"/>
              </w:rPr>
              <w:t>18 668,52 zł</w:t>
            </w:r>
          </w:p>
        </w:tc>
      </w:tr>
      <w:tr>
        <w:trPr/>
        <w:tc>
          <w:tcPr>
            <w:tcW w:w="450" w:type="dxa"/>
            <w:vMerge w:val="continue"/>
            <w:tcBorders>
              <w:start w:val="single" w:sz="2" w:space="0" w:color="000000"/>
              <w:bottom w:val="single" w:sz="2" w:space="0" w:color="000000"/>
            </w:tcBorders>
            <w:shd w:fill="FFBF00" w:val="clear"/>
            <w:vAlign w:val="center"/>
          </w:tcPr>
          <w:p>
            <w:pPr>
              <w:pStyle w:val="Normal"/>
              <w:rPr/>
            </w:pPr>
            <w:r>
              <w:rPr/>
            </w:r>
          </w:p>
        </w:tc>
        <w:tc>
          <w:tcPr>
            <w:tcW w:w="1450" w:type="dxa"/>
            <w:vMerge w:val="continue"/>
            <w:tcBorders>
              <w:start w:val="single" w:sz="2" w:space="0" w:color="000000"/>
              <w:bottom w:val="single" w:sz="2" w:space="0" w:color="000000"/>
            </w:tcBorders>
            <w:shd w:fill="ACB20C" w:val="clear"/>
            <w:vAlign w:val="center"/>
          </w:tcPr>
          <w:p>
            <w:pPr>
              <w:pStyle w:val="Normal"/>
              <w:rPr/>
            </w:pPr>
            <w:r>
              <w:rPr/>
            </w:r>
          </w:p>
        </w:tc>
        <w:tc>
          <w:tcPr>
            <w:tcW w:w="3090" w:type="dxa"/>
            <w:vMerge w:val="continue"/>
            <w:tcBorders>
              <w:start w:val="single" w:sz="2" w:space="0" w:color="000000"/>
              <w:bottom w:val="single" w:sz="2" w:space="0" w:color="000000"/>
            </w:tcBorders>
            <w:shd w:fill="FFDE59" w:val="clear"/>
            <w:vAlign w:val="center"/>
          </w:tcPr>
          <w:p>
            <w:pPr>
              <w:pStyle w:val="Normal"/>
              <w:rPr/>
            </w:pPr>
            <w:r>
              <w:rPr/>
            </w:r>
          </w:p>
        </w:tc>
        <w:tc>
          <w:tcPr>
            <w:tcW w:w="2718" w:type="dxa"/>
            <w:tcBorders>
              <w:start w:val="single" w:sz="2" w:space="0" w:color="000000"/>
              <w:bottom w:val="single" w:sz="2" w:space="0" w:color="000000"/>
            </w:tcBorders>
            <w:shd w:fill="E6E905" w:val="clear"/>
            <w:vAlign w:val="center"/>
          </w:tcPr>
          <w:p>
            <w:pPr>
              <w:pStyle w:val="Zawartotabeli"/>
              <w:jc w:val="center"/>
              <w:rPr>
                <w:rFonts w:ascii="Calibri" w:hAnsi="Calibri"/>
              </w:rPr>
            </w:pPr>
            <w:r>
              <w:rPr>
                <w:rFonts w:ascii="Calibri" w:hAnsi="Calibri"/>
              </w:rPr>
              <w:t>pozostałe wydatki rzeczowe</w:t>
              <w:br/>
              <w:t>- dotacja celowa - 22 784,00 zł</w:t>
            </w:r>
          </w:p>
          <w:p>
            <w:pPr>
              <w:pStyle w:val="Zawartotabeli"/>
              <w:jc w:val="center"/>
              <w:rPr>
                <w:rFonts w:ascii="Calibri" w:hAnsi="Calibri"/>
              </w:rPr>
            </w:pPr>
            <w:r>
              <w:rPr>
                <w:rFonts w:ascii="Calibri" w:hAnsi="Calibri"/>
              </w:rPr>
              <w:t>- środki własne -        300,00 zł</w:t>
            </w:r>
          </w:p>
        </w:tc>
        <w:tc>
          <w:tcPr>
            <w:tcW w:w="1742" w:type="dxa"/>
            <w:tcBorders>
              <w:start w:val="single" w:sz="2" w:space="0" w:color="000000"/>
              <w:bottom w:val="single" w:sz="2" w:space="0" w:color="000000"/>
              <w:end w:val="single" w:sz="2" w:space="0" w:color="000000"/>
            </w:tcBorders>
            <w:shd w:fill="5EB91E" w:val="clear"/>
            <w:vAlign w:val="center"/>
          </w:tcPr>
          <w:p>
            <w:pPr>
              <w:pStyle w:val="Zawartotabeli"/>
              <w:jc w:val="center"/>
              <w:rPr>
                <w:rFonts w:ascii="Calibri" w:hAnsi="Calibri"/>
              </w:rPr>
            </w:pPr>
            <w:r>
              <w:rPr>
                <w:rFonts w:ascii="Calibri" w:hAnsi="Calibri"/>
              </w:rPr>
              <w:t>23 084,00 zł</w:t>
            </w:r>
          </w:p>
        </w:tc>
      </w:tr>
      <w:tr>
        <w:trPr/>
        <w:tc>
          <w:tcPr>
            <w:tcW w:w="450" w:type="dxa"/>
            <w:vMerge w:val="restart"/>
            <w:tcBorders>
              <w:start w:val="single" w:sz="2" w:space="0" w:color="000000"/>
              <w:bottom w:val="single" w:sz="2" w:space="0" w:color="000000"/>
            </w:tcBorders>
            <w:shd w:fill="FFBF00" w:val="clear"/>
            <w:vAlign w:val="center"/>
          </w:tcPr>
          <w:p>
            <w:pPr>
              <w:pStyle w:val="Zawartotabeli"/>
              <w:jc w:val="center"/>
              <w:rPr>
                <w:rFonts w:ascii="Calibri" w:hAnsi="Calibri"/>
                <w:b/>
                <w:bCs/>
              </w:rPr>
            </w:pPr>
            <w:r>
              <w:rPr>
                <w:rFonts w:ascii="Calibri" w:hAnsi="Calibri"/>
                <w:b/>
                <w:bCs/>
              </w:rPr>
              <w:t>20.</w:t>
            </w:r>
          </w:p>
        </w:tc>
        <w:tc>
          <w:tcPr>
            <w:tcW w:w="1450" w:type="dxa"/>
            <w:vMerge w:val="restart"/>
            <w:tcBorders>
              <w:start w:val="single" w:sz="2" w:space="0" w:color="000000"/>
              <w:bottom w:val="single" w:sz="2" w:space="0" w:color="000000"/>
            </w:tcBorders>
            <w:shd w:fill="ACB20C" w:val="clear"/>
            <w:vAlign w:val="center"/>
          </w:tcPr>
          <w:p>
            <w:pPr>
              <w:pStyle w:val="Zawartotabeli"/>
              <w:jc w:val="center"/>
              <w:rPr>
                <w:rFonts w:ascii="Calibri" w:hAnsi="Calibri"/>
                <w:b/>
                <w:bCs/>
              </w:rPr>
            </w:pPr>
            <w:r>
              <w:rPr>
                <w:rFonts w:ascii="Calibri" w:hAnsi="Calibri"/>
                <w:b/>
                <w:bCs/>
              </w:rPr>
              <w:t>85415</w:t>
            </w:r>
          </w:p>
        </w:tc>
        <w:tc>
          <w:tcPr>
            <w:tcW w:w="3090" w:type="dxa"/>
            <w:vMerge w:val="restart"/>
            <w:tcBorders>
              <w:start w:val="single" w:sz="2" w:space="0" w:color="000000"/>
              <w:bottom w:val="single" w:sz="2" w:space="0" w:color="000000"/>
            </w:tcBorders>
            <w:shd w:fill="FFDE59" w:val="clear"/>
            <w:vAlign w:val="center"/>
          </w:tcPr>
          <w:p>
            <w:pPr>
              <w:pStyle w:val="Zawartotabeli"/>
              <w:jc w:val="center"/>
              <w:rPr>
                <w:rFonts w:ascii="Calibri" w:hAnsi="Calibri"/>
                <w:b/>
                <w:bCs/>
              </w:rPr>
            </w:pPr>
            <w:r>
              <w:rPr>
                <w:rFonts w:ascii="Calibri" w:hAnsi="Calibri"/>
                <w:b/>
                <w:bCs/>
              </w:rPr>
              <w:t>Pomoc materialna dla uczniów</w:t>
            </w:r>
          </w:p>
        </w:tc>
        <w:tc>
          <w:tcPr>
            <w:tcW w:w="2718" w:type="dxa"/>
            <w:tcBorders>
              <w:start w:val="single" w:sz="2" w:space="0" w:color="000000"/>
              <w:bottom w:val="single" w:sz="2" w:space="0" w:color="000000"/>
            </w:tcBorders>
            <w:shd w:fill="E6E905" w:val="clear"/>
            <w:vAlign w:val="center"/>
          </w:tcPr>
          <w:p>
            <w:pPr>
              <w:pStyle w:val="Zawartotabeli"/>
              <w:jc w:val="center"/>
              <w:rPr>
                <w:rFonts w:ascii="Calibri" w:hAnsi="Calibri"/>
              </w:rPr>
            </w:pPr>
            <w:r>
              <w:rPr>
                <w:rFonts w:ascii="Calibri" w:hAnsi="Calibri"/>
              </w:rPr>
            </w:r>
          </w:p>
        </w:tc>
        <w:tc>
          <w:tcPr>
            <w:tcW w:w="1742" w:type="dxa"/>
            <w:tcBorders>
              <w:start w:val="single" w:sz="2" w:space="0" w:color="000000"/>
              <w:bottom w:val="single" w:sz="2" w:space="0" w:color="000000"/>
              <w:end w:val="single" w:sz="2" w:space="0" w:color="000000"/>
            </w:tcBorders>
            <w:shd w:fill="5EB91E" w:val="clear"/>
            <w:vAlign w:val="center"/>
          </w:tcPr>
          <w:p>
            <w:pPr>
              <w:pStyle w:val="Zawartotabeli"/>
              <w:jc w:val="center"/>
              <w:rPr>
                <w:rFonts w:ascii="Calibri" w:hAnsi="Calibri"/>
                <w:b/>
                <w:bCs/>
              </w:rPr>
            </w:pPr>
            <w:r>
              <w:rPr>
                <w:rFonts w:ascii="Calibri" w:hAnsi="Calibri"/>
                <w:b/>
                <w:bCs/>
              </w:rPr>
              <w:t>167 554,15 zł</w:t>
            </w:r>
          </w:p>
        </w:tc>
      </w:tr>
      <w:tr>
        <w:trPr/>
        <w:tc>
          <w:tcPr>
            <w:tcW w:w="450" w:type="dxa"/>
            <w:vMerge w:val="continue"/>
            <w:tcBorders>
              <w:start w:val="single" w:sz="2" w:space="0" w:color="000000"/>
              <w:bottom w:val="single" w:sz="2" w:space="0" w:color="000000"/>
            </w:tcBorders>
            <w:shd w:fill="FFBF00" w:val="clear"/>
            <w:vAlign w:val="center"/>
          </w:tcPr>
          <w:p>
            <w:pPr>
              <w:pStyle w:val="Normal"/>
              <w:rPr/>
            </w:pPr>
            <w:r>
              <w:rPr/>
            </w:r>
          </w:p>
        </w:tc>
        <w:tc>
          <w:tcPr>
            <w:tcW w:w="1450" w:type="dxa"/>
            <w:vMerge w:val="continue"/>
            <w:tcBorders>
              <w:start w:val="single" w:sz="2" w:space="0" w:color="000000"/>
              <w:bottom w:val="single" w:sz="2" w:space="0" w:color="000000"/>
            </w:tcBorders>
            <w:shd w:fill="ACB20C" w:val="clear"/>
            <w:vAlign w:val="center"/>
          </w:tcPr>
          <w:p>
            <w:pPr>
              <w:pStyle w:val="Normal"/>
              <w:rPr/>
            </w:pPr>
            <w:r>
              <w:rPr/>
            </w:r>
          </w:p>
        </w:tc>
        <w:tc>
          <w:tcPr>
            <w:tcW w:w="3090" w:type="dxa"/>
            <w:vMerge w:val="continue"/>
            <w:tcBorders>
              <w:start w:val="single" w:sz="2" w:space="0" w:color="000000"/>
              <w:bottom w:val="single" w:sz="2" w:space="0" w:color="000000"/>
            </w:tcBorders>
            <w:shd w:fill="FFDE59" w:val="clear"/>
            <w:vAlign w:val="center"/>
          </w:tcPr>
          <w:p>
            <w:pPr>
              <w:pStyle w:val="Normal"/>
              <w:rPr/>
            </w:pPr>
            <w:r>
              <w:rPr/>
            </w:r>
          </w:p>
        </w:tc>
        <w:tc>
          <w:tcPr>
            <w:tcW w:w="2718" w:type="dxa"/>
            <w:tcBorders>
              <w:start w:val="single" w:sz="2" w:space="0" w:color="000000"/>
              <w:bottom w:val="single" w:sz="2" w:space="0" w:color="000000"/>
            </w:tcBorders>
            <w:shd w:fill="E6E905" w:val="clear"/>
            <w:vAlign w:val="center"/>
          </w:tcPr>
          <w:p>
            <w:pPr>
              <w:pStyle w:val="Zawartotabeli"/>
              <w:jc w:val="center"/>
              <w:rPr>
                <w:rFonts w:ascii="Calibri" w:hAnsi="Calibri"/>
              </w:rPr>
            </w:pPr>
            <w:r>
              <w:rPr>
                <w:rFonts w:ascii="Calibri" w:hAnsi="Calibri"/>
              </w:rPr>
              <w:t>stypendia dla uczniów</w:t>
            </w:r>
          </w:p>
        </w:tc>
        <w:tc>
          <w:tcPr>
            <w:tcW w:w="1742" w:type="dxa"/>
            <w:tcBorders>
              <w:start w:val="single" w:sz="2" w:space="0" w:color="000000"/>
              <w:bottom w:val="single" w:sz="2" w:space="0" w:color="000000"/>
              <w:end w:val="single" w:sz="2" w:space="0" w:color="000000"/>
            </w:tcBorders>
            <w:shd w:fill="5EB91E" w:val="clear"/>
            <w:vAlign w:val="center"/>
          </w:tcPr>
          <w:p>
            <w:pPr>
              <w:pStyle w:val="Zawartotabeli"/>
              <w:jc w:val="center"/>
              <w:rPr>
                <w:rFonts w:ascii="Calibri" w:hAnsi="Calibri"/>
              </w:rPr>
            </w:pPr>
            <w:r>
              <w:rPr>
                <w:rFonts w:ascii="Calibri" w:hAnsi="Calibri"/>
              </w:rPr>
              <w:t>165 154,15 zł</w:t>
            </w:r>
          </w:p>
        </w:tc>
      </w:tr>
      <w:tr>
        <w:trPr/>
        <w:tc>
          <w:tcPr>
            <w:tcW w:w="450" w:type="dxa"/>
            <w:vMerge w:val="continue"/>
            <w:tcBorders>
              <w:start w:val="single" w:sz="2" w:space="0" w:color="000000"/>
              <w:bottom w:val="single" w:sz="2" w:space="0" w:color="000000"/>
            </w:tcBorders>
            <w:shd w:fill="FFBF00" w:val="clear"/>
            <w:vAlign w:val="center"/>
          </w:tcPr>
          <w:p>
            <w:pPr>
              <w:pStyle w:val="Normal"/>
              <w:rPr/>
            </w:pPr>
            <w:r>
              <w:rPr/>
            </w:r>
          </w:p>
        </w:tc>
        <w:tc>
          <w:tcPr>
            <w:tcW w:w="1450" w:type="dxa"/>
            <w:vMerge w:val="continue"/>
            <w:tcBorders>
              <w:start w:val="single" w:sz="2" w:space="0" w:color="000000"/>
              <w:bottom w:val="single" w:sz="2" w:space="0" w:color="000000"/>
            </w:tcBorders>
            <w:shd w:fill="ACB20C" w:val="clear"/>
            <w:vAlign w:val="center"/>
          </w:tcPr>
          <w:p>
            <w:pPr>
              <w:pStyle w:val="Normal"/>
              <w:rPr/>
            </w:pPr>
            <w:r>
              <w:rPr/>
            </w:r>
          </w:p>
        </w:tc>
        <w:tc>
          <w:tcPr>
            <w:tcW w:w="3090" w:type="dxa"/>
            <w:vMerge w:val="continue"/>
            <w:tcBorders>
              <w:start w:val="single" w:sz="2" w:space="0" w:color="000000"/>
              <w:bottom w:val="single" w:sz="2" w:space="0" w:color="000000"/>
            </w:tcBorders>
            <w:shd w:fill="FFDE59" w:val="clear"/>
            <w:vAlign w:val="center"/>
          </w:tcPr>
          <w:p>
            <w:pPr>
              <w:pStyle w:val="Normal"/>
              <w:rPr/>
            </w:pPr>
            <w:r>
              <w:rPr/>
            </w:r>
          </w:p>
        </w:tc>
        <w:tc>
          <w:tcPr>
            <w:tcW w:w="2718" w:type="dxa"/>
            <w:tcBorders>
              <w:start w:val="single" w:sz="2" w:space="0" w:color="000000"/>
              <w:bottom w:val="single" w:sz="2" w:space="0" w:color="000000"/>
            </w:tcBorders>
            <w:shd w:fill="E6E905" w:val="clear"/>
            <w:vAlign w:val="center"/>
          </w:tcPr>
          <w:p>
            <w:pPr>
              <w:pStyle w:val="Zawartotabeli"/>
              <w:jc w:val="center"/>
              <w:rPr>
                <w:rFonts w:ascii="Calibri" w:hAnsi="Calibri"/>
              </w:rPr>
            </w:pPr>
            <w:r>
              <w:rPr>
                <w:rFonts w:ascii="Calibri" w:hAnsi="Calibri"/>
              </w:rPr>
              <w:t>zasiłki szkolne</w:t>
            </w:r>
          </w:p>
        </w:tc>
        <w:tc>
          <w:tcPr>
            <w:tcW w:w="1742" w:type="dxa"/>
            <w:tcBorders>
              <w:start w:val="single" w:sz="2" w:space="0" w:color="000000"/>
              <w:bottom w:val="single" w:sz="2" w:space="0" w:color="000000"/>
              <w:end w:val="single" w:sz="2" w:space="0" w:color="000000"/>
            </w:tcBorders>
            <w:shd w:fill="5EB91E" w:val="clear"/>
            <w:vAlign w:val="center"/>
          </w:tcPr>
          <w:p>
            <w:pPr>
              <w:pStyle w:val="Zawartotabeli"/>
              <w:jc w:val="center"/>
              <w:rPr>
                <w:rFonts w:ascii="Calibri" w:hAnsi="Calibri"/>
              </w:rPr>
            </w:pPr>
            <w:r>
              <w:rPr>
                <w:rFonts w:ascii="Calibri" w:hAnsi="Calibri"/>
              </w:rPr>
              <w:t>2 400,00 zł</w:t>
            </w:r>
          </w:p>
        </w:tc>
      </w:tr>
      <w:tr>
        <w:trPr/>
        <w:tc>
          <w:tcPr>
            <w:tcW w:w="450" w:type="dxa"/>
            <w:tcBorders>
              <w:start w:val="single" w:sz="2" w:space="0" w:color="000000"/>
              <w:bottom w:val="single" w:sz="2" w:space="0" w:color="000000"/>
            </w:tcBorders>
            <w:shd w:fill="FFBF00" w:val="clear"/>
            <w:vAlign w:val="center"/>
          </w:tcPr>
          <w:p>
            <w:pPr>
              <w:pStyle w:val="Zawartotabeli"/>
              <w:jc w:val="center"/>
              <w:rPr>
                <w:rFonts w:ascii="Calibri" w:hAnsi="Calibri"/>
                <w:b/>
                <w:bCs/>
              </w:rPr>
            </w:pPr>
            <w:r>
              <w:rPr>
                <w:rFonts w:ascii="Calibri" w:hAnsi="Calibri"/>
                <w:b/>
                <w:bCs/>
              </w:rPr>
              <w:t>21.</w:t>
            </w:r>
          </w:p>
        </w:tc>
        <w:tc>
          <w:tcPr>
            <w:tcW w:w="1450" w:type="dxa"/>
            <w:tcBorders>
              <w:start w:val="single" w:sz="2" w:space="0" w:color="000000"/>
              <w:bottom w:val="single" w:sz="2" w:space="0" w:color="000000"/>
            </w:tcBorders>
            <w:shd w:fill="ACB20C" w:val="clear"/>
            <w:vAlign w:val="center"/>
          </w:tcPr>
          <w:p>
            <w:pPr>
              <w:pStyle w:val="Zawartotabeli"/>
              <w:jc w:val="center"/>
              <w:rPr>
                <w:rFonts w:ascii="Calibri" w:hAnsi="Calibri"/>
                <w:b/>
                <w:bCs/>
              </w:rPr>
            </w:pPr>
            <w:r>
              <w:rPr>
                <w:rFonts w:ascii="Calibri" w:hAnsi="Calibri"/>
                <w:b/>
                <w:bCs/>
              </w:rPr>
              <w:t>85415</w:t>
            </w:r>
          </w:p>
        </w:tc>
        <w:tc>
          <w:tcPr>
            <w:tcW w:w="3090" w:type="dxa"/>
            <w:tcBorders>
              <w:start w:val="single" w:sz="2" w:space="0" w:color="000000"/>
              <w:bottom w:val="single" w:sz="2" w:space="0" w:color="000000"/>
            </w:tcBorders>
            <w:shd w:fill="FFDE59" w:val="clear"/>
            <w:vAlign w:val="center"/>
          </w:tcPr>
          <w:p>
            <w:pPr>
              <w:pStyle w:val="Zawartotabeli"/>
              <w:jc w:val="center"/>
              <w:rPr>
                <w:rFonts w:ascii="Calibri" w:hAnsi="Calibri"/>
                <w:b/>
                <w:bCs/>
              </w:rPr>
            </w:pPr>
            <w:r>
              <w:rPr>
                <w:rFonts w:ascii="Calibri" w:hAnsi="Calibri"/>
                <w:b/>
                <w:bCs/>
              </w:rPr>
              <w:t>Pomoc materialna dla uczniów FP Ukraina</w:t>
            </w:r>
          </w:p>
        </w:tc>
        <w:tc>
          <w:tcPr>
            <w:tcW w:w="2718" w:type="dxa"/>
            <w:tcBorders>
              <w:start w:val="single" w:sz="2" w:space="0" w:color="000000"/>
              <w:bottom w:val="single" w:sz="2" w:space="0" w:color="000000"/>
            </w:tcBorders>
            <w:shd w:fill="E6E905" w:val="clear"/>
            <w:vAlign w:val="center"/>
          </w:tcPr>
          <w:p>
            <w:pPr>
              <w:pStyle w:val="Zawartotabeli"/>
              <w:jc w:val="center"/>
              <w:rPr>
                <w:rFonts w:ascii="Calibri" w:hAnsi="Calibri"/>
              </w:rPr>
            </w:pPr>
            <w:r>
              <w:rPr>
                <w:rFonts w:ascii="Calibri" w:hAnsi="Calibri"/>
              </w:rPr>
              <w:t>stypendia dla uczniów</w:t>
            </w:r>
          </w:p>
        </w:tc>
        <w:tc>
          <w:tcPr>
            <w:tcW w:w="1742" w:type="dxa"/>
            <w:tcBorders>
              <w:start w:val="single" w:sz="2" w:space="0" w:color="000000"/>
              <w:bottom w:val="single" w:sz="2" w:space="0" w:color="000000"/>
              <w:end w:val="single" w:sz="2" w:space="0" w:color="000000"/>
            </w:tcBorders>
            <w:shd w:fill="5EB91E" w:val="clear"/>
            <w:vAlign w:val="center"/>
          </w:tcPr>
          <w:p>
            <w:pPr>
              <w:pStyle w:val="Zawartotabeli"/>
              <w:jc w:val="center"/>
              <w:rPr>
                <w:rFonts w:ascii="Calibri" w:hAnsi="Calibri"/>
                <w:b/>
                <w:bCs/>
              </w:rPr>
            </w:pPr>
            <w:r>
              <w:rPr>
                <w:rFonts w:ascii="Calibri" w:hAnsi="Calibri"/>
                <w:b/>
                <w:bCs/>
              </w:rPr>
              <w:t>0,00 zł</w:t>
            </w:r>
          </w:p>
        </w:tc>
      </w:tr>
      <w:tr>
        <w:trPr/>
        <w:tc>
          <w:tcPr>
            <w:tcW w:w="450" w:type="dxa"/>
            <w:vMerge w:val="restart"/>
            <w:tcBorders>
              <w:top w:val="single" w:sz="6" w:space="0" w:color="000000"/>
              <w:start w:val="single" w:sz="6" w:space="0" w:color="000000"/>
              <w:bottom w:val="single" w:sz="6" w:space="0" w:color="000000"/>
              <w:end w:val="single" w:sz="6" w:space="0" w:color="000000"/>
            </w:tcBorders>
            <w:shd w:fill="FFBF00" w:val="clear"/>
            <w:vAlign w:val="center"/>
          </w:tcPr>
          <w:p>
            <w:pPr>
              <w:pStyle w:val="Zawartotabeli"/>
              <w:jc w:val="center"/>
              <w:rPr>
                <w:rFonts w:ascii="Calibri" w:hAnsi="Calibri"/>
                <w:b/>
                <w:bCs/>
              </w:rPr>
            </w:pPr>
            <w:r>
              <w:rPr>
                <w:rFonts w:ascii="Calibri" w:hAnsi="Calibri"/>
                <w:b/>
                <w:bCs/>
              </w:rPr>
              <w:t>22.</w:t>
            </w:r>
          </w:p>
        </w:tc>
        <w:tc>
          <w:tcPr>
            <w:tcW w:w="1450" w:type="dxa"/>
            <w:vMerge w:val="restart"/>
            <w:tcBorders>
              <w:start w:val="single" w:sz="6" w:space="0" w:color="000000"/>
              <w:bottom w:val="single" w:sz="6" w:space="0" w:color="000000"/>
            </w:tcBorders>
            <w:shd w:fill="ACB20C" w:val="clear"/>
            <w:vAlign w:val="center"/>
          </w:tcPr>
          <w:p>
            <w:pPr>
              <w:pStyle w:val="Zawartotabeli"/>
              <w:jc w:val="center"/>
              <w:rPr>
                <w:rFonts w:ascii="Calibri" w:hAnsi="Calibri"/>
                <w:b/>
                <w:bCs/>
              </w:rPr>
            </w:pPr>
            <w:r>
              <w:rPr>
                <w:rFonts w:ascii="Calibri" w:hAnsi="Calibri"/>
                <w:b/>
                <w:bCs/>
              </w:rPr>
              <w:t>85502</w:t>
            </w:r>
          </w:p>
        </w:tc>
        <w:tc>
          <w:tcPr>
            <w:tcW w:w="3090" w:type="dxa"/>
            <w:vMerge w:val="restart"/>
            <w:tcBorders>
              <w:start w:val="single" w:sz="6" w:space="0" w:color="000000"/>
              <w:bottom w:val="single" w:sz="6" w:space="0" w:color="000000"/>
            </w:tcBorders>
            <w:shd w:fill="FFDE59" w:val="clear"/>
            <w:vAlign w:val="center"/>
          </w:tcPr>
          <w:p>
            <w:pPr>
              <w:pStyle w:val="Zawartotabeli"/>
              <w:jc w:val="center"/>
              <w:rPr>
                <w:rFonts w:ascii="Calibri" w:hAnsi="Calibri"/>
                <w:b/>
                <w:bCs/>
              </w:rPr>
            </w:pPr>
            <w:r>
              <w:rPr>
                <w:rFonts w:ascii="Calibri" w:hAnsi="Calibri"/>
                <w:b/>
                <w:bCs/>
              </w:rPr>
              <w:t>Świadczenia rodzinne - działania podejmowane wobec dłużników alimentacyjnych</w:t>
            </w:r>
          </w:p>
        </w:tc>
        <w:tc>
          <w:tcPr>
            <w:tcW w:w="2718" w:type="dxa"/>
            <w:tcBorders>
              <w:start w:val="single" w:sz="2" w:space="0" w:color="000000"/>
              <w:bottom w:val="single" w:sz="2" w:space="0" w:color="000000"/>
            </w:tcBorders>
            <w:shd w:fill="E6E905" w:val="clear"/>
            <w:vAlign w:val="center"/>
          </w:tcPr>
          <w:p>
            <w:pPr>
              <w:pStyle w:val="Zawartotabeli"/>
              <w:jc w:val="center"/>
              <w:rPr>
                <w:rFonts w:ascii="Calibri" w:hAnsi="Calibri"/>
              </w:rPr>
            </w:pPr>
            <w:r>
              <w:rPr>
                <w:rFonts w:ascii="Calibri" w:hAnsi="Calibri"/>
              </w:rPr>
            </w:r>
          </w:p>
        </w:tc>
        <w:tc>
          <w:tcPr>
            <w:tcW w:w="1742" w:type="dxa"/>
            <w:tcBorders>
              <w:start w:val="single" w:sz="2" w:space="0" w:color="000000"/>
              <w:bottom w:val="single" w:sz="2" w:space="0" w:color="000000"/>
              <w:end w:val="single" w:sz="2" w:space="0" w:color="000000"/>
            </w:tcBorders>
            <w:shd w:fill="5EB91E" w:val="clear"/>
            <w:vAlign w:val="center"/>
          </w:tcPr>
          <w:p>
            <w:pPr>
              <w:pStyle w:val="Zawartotabeli"/>
              <w:jc w:val="center"/>
              <w:rPr>
                <w:rFonts w:ascii="Calibri" w:hAnsi="Calibri"/>
                <w:b/>
                <w:bCs/>
              </w:rPr>
            </w:pPr>
            <w:r>
              <w:rPr>
                <w:rFonts w:ascii="Calibri" w:hAnsi="Calibri"/>
                <w:b/>
                <w:bCs/>
              </w:rPr>
              <w:t>103 462,72 zł</w:t>
            </w:r>
          </w:p>
        </w:tc>
      </w:tr>
      <w:tr>
        <w:trPr/>
        <w:tc>
          <w:tcPr>
            <w:tcW w:w="450" w:type="dxa"/>
            <w:vMerge w:val="continue"/>
            <w:tcBorders>
              <w:top w:val="single" w:sz="6" w:space="0" w:color="000000"/>
              <w:start w:val="single" w:sz="6" w:space="0" w:color="000000"/>
              <w:bottom w:val="single" w:sz="6" w:space="0" w:color="000000"/>
              <w:end w:val="single" w:sz="6" w:space="0" w:color="000000"/>
            </w:tcBorders>
            <w:shd w:fill="FFBF00" w:val="clear"/>
            <w:vAlign w:val="center"/>
          </w:tcPr>
          <w:p>
            <w:pPr>
              <w:pStyle w:val="Normal"/>
              <w:rPr/>
            </w:pPr>
            <w:r>
              <w:rPr/>
            </w:r>
          </w:p>
        </w:tc>
        <w:tc>
          <w:tcPr>
            <w:tcW w:w="1450" w:type="dxa"/>
            <w:vMerge w:val="continue"/>
            <w:tcBorders>
              <w:start w:val="single" w:sz="6" w:space="0" w:color="000000"/>
              <w:bottom w:val="single" w:sz="6" w:space="0" w:color="000000"/>
            </w:tcBorders>
            <w:shd w:fill="ACB20C" w:val="clear"/>
            <w:vAlign w:val="center"/>
          </w:tcPr>
          <w:p>
            <w:pPr>
              <w:pStyle w:val="Normal"/>
              <w:rPr/>
            </w:pPr>
            <w:r>
              <w:rPr/>
            </w:r>
          </w:p>
        </w:tc>
        <w:tc>
          <w:tcPr>
            <w:tcW w:w="3090" w:type="dxa"/>
            <w:vMerge w:val="continue"/>
            <w:tcBorders>
              <w:start w:val="single" w:sz="6" w:space="0" w:color="000000"/>
              <w:bottom w:val="single" w:sz="6" w:space="0" w:color="000000"/>
            </w:tcBorders>
            <w:shd w:fill="FFDE59" w:val="clear"/>
            <w:vAlign w:val="center"/>
          </w:tcPr>
          <w:p>
            <w:pPr>
              <w:pStyle w:val="Normal"/>
              <w:rPr/>
            </w:pPr>
            <w:r>
              <w:rPr/>
            </w:r>
          </w:p>
        </w:tc>
        <w:tc>
          <w:tcPr>
            <w:tcW w:w="2718" w:type="dxa"/>
            <w:tcBorders>
              <w:start w:val="single" w:sz="2" w:space="0" w:color="000000"/>
              <w:bottom w:val="single" w:sz="2" w:space="0" w:color="000000"/>
            </w:tcBorders>
            <w:shd w:fill="E6E905" w:val="clear"/>
            <w:vAlign w:val="center"/>
          </w:tcPr>
          <w:p>
            <w:pPr>
              <w:pStyle w:val="Zawartotabeli"/>
              <w:jc w:val="center"/>
              <w:rPr>
                <w:rFonts w:ascii="Calibri" w:hAnsi="Calibri"/>
              </w:rPr>
            </w:pPr>
            <w:r>
              <w:rPr>
                <w:rFonts w:ascii="Calibri" w:hAnsi="Calibri"/>
              </w:rPr>
              <w:t xml:space="preserve">wynagrodzenia </w:t>
              <w:br/>
              <w:t>i pochodne</w:t>
            </w:r>
          </w:p>
        </w:tc>
        <w:tc>
          <w:tcPr>
            <w:tcW w:w="1742" w:type="dxa"/>
            <w:tcBorders>
              <w:start w:val="single" w:sz="2" w:space="0" w:color="000000"/>
              <w:bottom w:val="single" w:sz="2" w:space="0" w:color="000000"/>
              <w:end w:val="single" w:sz="2" w:space="0" w:color="000000"/>
            </w:tcBorders>
            <w:shd w:fill="5EB91E" w:val="clear"/>
            <w:vAlign w:val="center"/>
          </w:tcPr>
          <w:p>
            <w:pPr>
              <w:pStyle w:val="Zawartotabeli"/>
              <w:jc w:val="center"/>
              <w:rPr>
                <w:rFonts w:ascii="Calibri" w:hAnsi="Calibri"/>
              </w:rPr>
            </w:pPr>
            <w:r>
              <w:rPr>
                <w:rFonts w:ascii="Calibri" w:hAnsi="Calibri"/>
              </w:rPr>
              <w:t>99 903,56 zł</w:t>
            </w:r>
          </w:p>
        </w:tc>
      </w:tr>
      <w:tr>
        <w:trPr/>
        <w:tc>
          <w:tcPr>
            <w:tcW w:w="450" w:type="dxa"/>
            <w:vMerge w:val="continue"/>
            <w:tcBorders>
              <w:top w:val="single" w:sz="6" w:space="0" w:color="000000"/>
              <w:start w:val="single" w:sz="6" w:space="0" w:color="000000"/>
              <w:bottom w:val="single" w:sz="6" w:space="0" w:color="000000"/>
              <w:end w:val="single" w:sz="6" w:space="0" w:color="000000"/>
            </w:tcBorders>
            <w:shd w:fill="FFBF00" w:val="clear"/>
            <w:vAlign w:val="center"/>
          </w:tcPr>
          <w:p>
            <w:pPr>
              <w:pStyle w:val="Normal"/>
              <w:rPr/>
            </w:pPr>
            <w:r>
              <w:rPr/>
            </w:r>
          </w:p>
        </w:tc>
        <w:tc>
          <w:tcPr>
            <w:tcW w:w="1450" w:type="dxa"/>
            <w:vMerge w:val="continue"/>
            <w:tcBorders>
              <w:start w:val="single" w:sz="6" w:space="0" w:color="000000"/>
              <w:bottom w:val="single" w:sz="6" w:space="0" w:color="000000"/>
            </w:tcBorders>
            <w:shd w:fill="ACB20C" w:val="clear"/>
            <w:vAlign w:val="center"/>
          </w:tcPr>
          <w:p>
            <w:pPr>
              <w:pStyle w:val="Normal"/>
              <w:rPr/>
            </w:pPr>
            <w:r>
              <w:rPr/>
            </w:r>
          </w:p>
        </w:tc>
        <w:tc>
          <w:tcPr>
            <w:tcW w:w="3090" w:type="dxa"/>
            <w:vMerge w:val="continue"/>
            <w:tcBorders>
              <w:start w:val="single" w:sz="6" w:space="0" w:color="000000"/>
              <w:bottom w:val="single" w:sz="6" w:space="0" w:color="000000"/>
            </w:tcBorders>
            <w:shd w:fill="FFDE59" w:val="clear"/>
            <w:vAlign w:val="center"/>
          </w:tcPr>
          <w:p>
            <w:pPr>
              <w:pStyle w:val="Normal"/>
              <w:rPr/>
            </w:pPr>
            <w:r>
              <w:rPr/>
            </w:r>
          </w:p>
        </w:tc>
        <w:tc>
          <w:tcPr>
            <w:tcW w:w="2718" w:type="dxa"/>
            <w:tcBorders>
              <w:start w:val="single" w:sz="2" w:space="0" w:color="000000"/>
              <w:bottom w:val="single" w:sz="2" w:space="0" w:color="000000"/>
            </w:tcBorders>
            <w:shd w:fill="E6E905" w:val="clear"/>
            <w:vAlign w:val="center"/>
          </w:tcPr>
          <w:p>
            <w:pPr>
              <w:pStyle w:val="Zawartotabeli"/>
              <w:jc w:val="center"/>
              <w:rPr>
                <w:rFonts w:ascii="Calibri" w:hAnsi="Calibri"/>
              </w:rPr>
            </w:pPr>
            <w:r>
              <w:rPr>
                <w:rFonts w:ascii="Calibri" w:hAnsi="Calibri"/>
              </w:rPr>
              <w:t>pozostałe wydatki rzeczowe</w:t>
            </w:r>
          </w:p>
        </w:tc>
        <w:tc>
          <w:tcPr>
            <w:tcW w:w="1742" w:type="dxa"/>
            <w:tcBorders>
              <w:start w:val="single" w:sz="2" w:space="0" w:color="000000"/>
              <w:bottom w:val="single" w:sz="2" w:space="0" w:color="000000"/>
              <w:end w:val="single" w:sz="2" w:space="0" w:color="000000"/>
            </w:tcBorders>
            <w:shd w:fill="5EB91E" w:val="clear"/>
            <w:vAlign w:val="center"/>
          </w:tcPr>
          <w:p>
            <w:pPr>
              <w:pStyle w:val="Zawartotabeli"/>
              <w:jc w:val="center"/>
              <w:rPr>
                <w:rFonts w:ascii="Calibri" w:hAnsi="Calibri"/>
              </w:rPr>
            </w:pPr>
            <w:r>
              <w:rPr>
                <w:rFonts w:ascii="Calibri" w:hAnsi="Calibri"/>
              </w:rPr>
              <w:t>3 559,16 zł</w:t>
            </w:r>
          </w:p>
        </w:tc>
      </w:tr>
      <w:tr>
        <w:trPr/>
        <w:tc>
          <w:tcPr>
            <w:tcW w:w="450" w:type="dxa"/>
            <w:vMerge w:val="restart"/>
            <w:tcBorders>
              <w:start w:val="single" w:sz="6" w:space="0" w:color="000000"/>
              <w:bottom w:val="single" w:sz="6" w:space="0" w:color="000000"/>
              <w:end w:val="single" w:sz="6" w:space="0" w:color="000000"/>
            </w:tcBorders>
            <w:shd w:fill="FFBF00" w:val="clear"/>
            <w:vAlign w:val="center"/>
          </w:tcPr>
          <w:p>
            <w:pPr>
              <w:pStyle w:val="Zawartotabeli"/>
              <w:jc w:val="center"/>
              <w:rPr>
                <w:rFonts w:ascii="Calibri" w:hAnsi="Calibri"/>
                <w:b/>
                <w:bCs/>
              </w:rPr>
            </w:pPr>
            <w:r>
              <w:rPr>
                <w:rFonts w:ascii="Calibri" w:hAnsi="Calibri"/>
                <w:b/>
                <w:bCs/>
              </w:rPr>
              <w:t>23.</w:t>
            </w:r>
          </w:p>
        </w:tc>
        <w:tc>
          <w:tcPr>
            <w:tcW w:w="1450" w:type="dxa"/>
            <w:vMerge w:val="restart"/>
            <w:tcBorders>
              <w:start w:val="single" w:sz="6" w:space="0" w:color="000000"/>
              <w:bottom w:val="single" w:sz="6" w:space="0" w:color="000000"/>
            </w:tcBorders>
            <w:shd w:fill="ACB20C" w:val="clear"/>
            <w:vAlign w:val="center"/>
          </w:tcPr>
          <w:p>
            <w:pPr>
              <w:pStyle w:val="Zawartotabeli"/>
              <w:jc w:val="center"/>
              <w:rPr>
                <w:rFonts w:ascii="Calibri" w:hAnsi="Calibri"/>
                <w:b/>
                <w:bCs/>
              </w:rPr>
            </w:pPr>
            <w:r>
              <w:rPr>
                <w:rFonts w:ascii="Calibri" w:hAnsi="Calibri"/>
                <w:b/>
                <w:bCs/>
              </w:rPr>
              <w:t>85504</w:t>
            </w:r>
          </w:p>
        </w:tc>
        <w:tc>
          <w:tcPr>
            <w:tcW w:w="3090" w:type="dxa"/>
            <w:vMerge w:val="restart"/>
            <w:tcBorders>
              <w:start w:val="single" w:sz="6" w:space="0" w:color="000000"/>
              <w:bottom w:val="single" w:sz="6" w:space="0" w:color="000000"/>
            </w:tcBorders>
            <w:shd w:fill="FFDE59" w:val="clear"/>
            <w:vAlign w:val="center"/>
          </w:tcPr>
          <w:p>
            <w:pPr>
              <w:pStyle w:val="Zawartotabeli"/>
              <w:jc w:val="center"/>
              <w:rPr>
                <w:rFonts w:ascii="Calibri" w:hAnsi="Calibri"/>
                <w:b/>
                <w:bCs/>
              </w:rPr>
            </w:pPr>
            <w:r>
              <w:rPr>
                <w:rFonts w:ascii="Calibri" w:hAnsi="Calibri"/>
                <w:b/>
                <w:bCs/>
              </w:rPr>
              <w:t>Asystent Rodziny</w:t>
            </w:r>
          </w:p>
        </w:tc>
        <w:tc>
          <w:tcPr>
            <w:tcW w:w="2718" w:type="dxa"/>
            <w:tcBorders>
              <w:start w:val="single" w:sz="2" w:space="0" w:color="000000"/>
              <w:bottom w:val="single" w:sz="2" w:space="0" w:color="000000"/>
            </w:tcBorders>
            <w:shd w:fill="E6E905" w:val="clear"/>
            <w:vAlign w:val="center"/>
          </w:tcPr>
          <w:p>
            <w:pPr>
              <w:pStyle w:val="Zawartotabeli"/>
              <w:jc w:val="center"/>
              <w:rPr>
                <w:rFonts w:ascii="Calibri" w:hAnsi="Calibri"/>
              </w:rPr>
            </w:pPr>
            <w:r>
              <w:rPr>
                <w:rFonts w:ascii="Calibri" w:hAnsi="Calibri"/>
              </w:rPr>
            </w:r>
          </w:p>
        </w:tc>
        <w:tc>
          <w:tcPr>
            <w:tcW w:w="1742" w:type="dxa"/>
            <w:tcBorders>
              <w:start w:val="single" w:sz="2" w:space="0" w:color="000000"/>
              <w:bottom w:val="single" w:sz="2" w:space="0" w:color="000000"/>
              <w:end w:val="single" w:sz="2" w:space="0" w:color="000000"/>
            </w:tcBorders>
            <w:shd w:fill="5EB91E" w:val="clear"/>
            <w:vAlign w:val="center"/>
          </w:tcPr>
          <w:p>
            <w:pPr>
              <w:pStyle w:val="Zawartotabeli"/>
              <w:jc w:val="center"/>
              <w:rPr>
                <w:rFonts w:ascii="Calibri" w:hAnsi="Calibri"/>
                <w:b/>
                <w:bCs/>
              </w:rPr>
            </w:pPr>
            <w:r>
              <w:rPr>
                <w:rFonts w:ascii="Calibri" w:hAnsi="Calibri"/>
                <w:b/>
                <w:bCs/>
              </w:rPr>
              <w:t>50 613,06 zł</w:t>
            </w:r>
          </w:p>
        </w:tc>
      </w:tr>
      <w:tr>
        <w:trPr/>
        <w:tc>
          <w:tcPr>
            <w:tcW w:w="450" w:type="dxa"/>
            <w:vMerge w:val="continue"/>
            <w:tcBorders>
              <w:start w:val="single" w:sz="6" w:space="0" w:color="000000"/>
              <w:bottom w:val="single" w:sz="6" w:space="0" w:color="000000"/>
              <w:end w:val="single" w:sz="6" w:space="0" w:color="000000"/>
            </w:tcBorders>
            <w:shd w:fill="FFBF00" w:val="clear"/>
            <w:vAlign w:val="center"/>
          </w:tcPr>
          <w:p>
            <w:pPr>
              <w:pStyle w:val="Normal"/>
              <w:rPr/>
            </w:pPr>
            <w:r>
              <w:rPr/>
            </w:r>
          </w:p>
        </w:tc>
        <w:tc>
          <w:tcPr>
            <w:tcW w:w="1450" w:type="dxa"/>
            <w:vMerge w:val="continue"/>
            <w:tcBorders>
              <w:start w:val="single" w:sz="6" w:space="0" w:color="000000"/>
              <w:bottom w:val="single" w:sz="6" w:space="0" w:color="000000"/>
            </w:tcBorders>
            <w:shd w:fill="ACB20C" w:val="clear"/>
            <w:vAlign w:val="center"/>
          </w:tcPr>
          <w:p>
            <w:pPr>
              <w:pStyle w:val="Normal"/>
              <w:rPr/>
            </w:pPr>
            <w:r>
              <w:rPr/>
            </w:r>
          </w:p>
        </w:tc>
        <w:tc>
          <w:tcPr>
            <w:tcW w:w="3090" w:type="dxa"/>
            <w:vMerge w:val="continue"/>
            <w:tcBorders>
              <w:start w:val="single" w:sz="6" w:space="0" w:color="000000"/>
              <w:bottom w:val="single" w:sz="6" w:space="0" w:color="000000"/>
            </w:tcBorders>
            <w:shd w:fill="FFDE59" w:val="clear"/>
            <w:vAlign w:val="center"/>
          </w:tcPr>
          <w:p>
            <w:pPr>
              <w:pStyle w:val="Normal"/>
              <w:rPr/>
            </w:pPr>
            <w:r>
              <w:rPr/>
            </w:r>
          </w:p>
        </w:tc>
        <w:tc>
          <w:tcPr>
            <w:tcW w:w="2718" w:type="dxa"/>
            <w:tcBorders>
              <w:start w:val="single" w:sz="2" w:space="0" w:color="000000"/>
              <w:bottom w:val="single" w:sz="2" w:space="0" w:color="000000"/>
            </w:tcBorders>
            <w:shd w:fill="E6E905" w:val="clear"/>
            <w:vAlign w:val="center"/>
          </w:tcPr>
          <w:p>
            <w:pPr>
              <w:pStyle w:val="Zawartotabeli"/>
              <w:jc w:val="center"/>
              <w:rPr>
                <w:rFonts w:ascii="Calibri" w:hAnsi="Calibri"/>
              </w:rPr>
            </w:pPr>
            <w:r>
              <w:rPr>
                <w:rFonts w:ascii="Calibri" w:hAnsi="Calibri"/>
              </w:rPr>
              <w:t xml:space="preserve">wynagrodzenia </w:t>
              <w:br/>
              <w:t>i pochodne</w:t>
            </w:r>
          </w:p>
        </w:tc>
        <w:tc>
          <w:tcPr>
            <w:tcW w:w="1742" w:type="dxa"/>
            <w:tcBorders>
              <w:start w:val="single" w:sz="2" w:space="0" w:color="000000"/>
              <w:bottom w:val="single" w:sz="2" w:space="0" w:color="000000"/>
              <w:end w:val="single" w:sz="2" w:space="0" w:color="000000"/>
            </w:tcBorders>
            <w:shd w:fill="5EB91E" w:val="clear"/>
            <w:vAlign w:val="center"/>
          </w:tcPr>
          <w:p>
            <w:pPr>
              <w:pStyle w:val="Zawartotabeli"/>
              <w:jc w:val="center"/>
              <w:rPr>
                <w:rFonts w:ascii="Calibri" w:hAnsi="Calibri"/>
              </w:rPr>
            </w:pPr>
            <w:r>
              <w:rPr>
                <w:rFonts w:ascii="Calibri" w:hAnsi="Calibri"/>
              </w:rPr>
              <w:t>39 103,00 zł</w:t>
            </w:r>
          </w:p>
        </w:tc>
      </w:tr>
      <w:tr>
        <w:trPr/>
        <w:tc>
          <w:tcPr>
            <w:tcW w:w="450" w:type="dxa"/>
            <w:vMerge w:val="continue"/>
            <w:tcBorders>
              <w:start w:val="single" w:sz="6" w:space="0" w:color="000000"/>
              <w:bottom w:val="single" w:sz="6" w:space="0" w:color="000000"/>
              <w:end w:val="single" w:sz="6" w:space="0" w:color="000000"/>
            </w:tcBorders>
            <w:shd w:fill="FFBF00" w:val="clear"/>
            <w:vAlign w:val="center"/>
          </w:tcPr>
          <w:p>
            <w:pPr>
              <w:pStyle w:val="Normal"/>
              <w:rPr/>
            </w:pPr>
            <w:r>
              <w:rPr/>
            </w:r>
          </w:p>
        </w:tc>
        <w:tc>
          <w:tcPr>
            <w:tcW w:w="1450" w:type="dxa"/>
            <w:vMerge w:val="continue"/>
            <w:tcBorders>
              <w:start w:val="single" w:sz="6" w:space="0" w:color="000000"/>
              <w:bottom w:val="single" w:sz="6" w:space="0" w:color="000000"/>
            </w:tcBorders>
            <w:shd w:fill="ACB20C" w:val="clear"/>
            <w:vAlign w:val="center"/>
          </w:tcPr>
          <w:p>
            <w:pPr>
              <w:pStyle w:val="Normal"/>
              <w:rPr/>
            </w:pPr>
            <w:r>
              <w:rPr/>
            </w:r>
          </w:p>
        </w:tc>
        <w:tc>
          <w:tcPr>
            <w:tcW w:w="3090" w:type="dxa"/>
            <w:vMerge w:val="continue"/>
            <w:tcBorders>
              <w:start w:val="single" w:sz="6" w:space="0" w:color="000000"/>
              <w:bottom w:val="single" w:sz="6" w:space="0" w:color="000000"/>
            </w:tcBorders>
            <w:shd w:fill="FFDE59" w:val="clear"/>
            <w:vAlign w:val="center"/>
          </w:tcPr>
          <w:p>
            <w:pPr>
              <w:pStyle w:val="Normal"/>
              <w:rPr/>
            </w:pPr>
            <w:r>
              <w:rPr/>
            </w:r>
          </w:p>
        </w:tc>
        <w:tc>
          <w:tcPr>
            <w:tcW w:w="2718" w:type="dxa"/>
            <w:tcBorders>
              <w:start w:val="single" w:sz="2" w:space="0" w:color="000000"/>
              <w:bottom w:val="single" w:sz="2" w:space="0" w:color="000000"/>
            </w:tcBorders>
            <w:shd w:fill="E6E905" w:val="clear"/>
            <w:vAlign w:val="center"/>
          </w:tcPr>
          <w:p>
            <w:pPr>
              <w:pStyle w:val="Zawartotabeli"/>
              <w:jc w:val="center"/>
              <w:rPr>
                <w:rFonts w:ascii="Calibri" w:hAnsi="Calibri"/>
              </w:rPr>
            </w:pPr>
            <w:r>
              <w:rPr>
                <w:rFonts w:ascii="Calibri" w:hAnsi="Calibri"/>
              </w:rPr>
              <w:t>pozostałe wydatki rzeczowe</w:t>
            </w:r>
          </w:p>
        </w:tc>
        <w:tc>
          <w:tcPr>
            <w:tcW w:w="1742" w:type="dxa"/>
            <w:tcBorders>
              <w:start w:val="single" w:sz="2" w:space="0" w:color="000000"/>
              <w:bottom w:val="single" w:sz="2" w:space="0" w:color="000000"/>
              <w:end w:val="single" w:sz="2" w:space="0" w:color="000000"/>
            </w:tcBorders>
            <w:shd w:fill="5EB91E" w:val="clear"/>
            <w:vAlign w:val="center"/>
          </w:tcPr>
          <w:p>
            <w:pPr>
              <w:pStyle w:val="Zawartotabeli"/>
              <w:jc w:val="center"/>
              <w:rPr>
                <w:rFonts w:ascii="Calibri" w:hAnsi="Calibri"/>
              </w:rPr>
            </w:pPr>
            <w:r>
              <w:rPr>
                <w:rFonts w:ascii="Calibri" w:hAnsi="Calibri"/>
              </w:rPr>
              <w:t>11 510,06 zł</w:t>
            </w:r>
          </w:p>
        </w:tc>
      </w:tr>
      <w:tr>
        <w:trPr/>
        <w:tc>
          <w:tcPr>
            <w:tcW w:w="450" w:type="dxa"/>
            <w:tcBorders>
              <w:start w:val="single" w:sz="6" w:space="0" w:color="000000"/>
              <w:bottom w:val="single" w:sz="6" w:space="0" w:color="000000"/>
              <w:end w:val="single" w:sz="6" w:space="0" w:color="000000"/>
            </w:tcBorders>
            <w:shd w:fill="FFBF00" w:val="clear"/>
            <w:vAlign w:val="center"/>
          </w:tcPr>
          <w:p>
            <w:pPr>
              <w:pStyle w:val="Zawartotabeli"/>
              <w:jc w:val="center"/>
              <w:rPr>
                <w:rFonts w:ascii="Calibri" w:hAnsi="Calibri"/>
                <w:b/>
                <w:bCs/>
              </w:rPr>
            </w:pPr>
            <w:r>
              <w:rPr>
                <w:rFonts w:ascii="Calibri" w:hAnsi="Calibri"/>
                <w:b/>
                <w:bCs/>
              </w:rPr>
              <w:t>24.</w:t>
            </w:r>
          </w:p>
        </w:tc>
        <w:tc>
          <w:tcPr>
            <w:tcW w:w="1450" w:type="dxa"/>
            <w:tcBorders>
              <w:top w:val="single" w:sz="6" w:space="0" w:color="000000"/>
              <w:start w:val="single" w:sz="6" w:space="0" w:color="000000"/>
              <w:bottom w:val="single" w:sz="6" w:space="0" w:color="000000"/>
            </w:tcBorders>
            <w:shd w:fill="ACB20C" w:val="clear"/>
            <w:vAlign w:val="center"/>
          </w:tcPr>
          <w:p>
            <w:pPr>
              <w:pStyle w:val="Zawartotabeli"/>
              <w:jc w:val="center"/>
              <w:rPr>
                <w:rFonts w:ascii="Calibri" w:hAnsi="Calibri"/>
                <w:b/>
                <w:bCs/>
              </w:rPr>
            </w:pPr>
            <w:r>
              <w:rPr>
                <w:rFonts w:ascii="Calibri" w:hAnsi="Calibri"/>
                <w:b/>
                <w:bCs/>
              </w:rPr>
              <w:t>85504</w:t>
            </w:r>
          </w:p>
        </w:tc>
        <w:tc>
          <w:tcPr>
            <w:tcW w:w="3090" w:type="dxa"/>
            <w:tcBorders>
              <w:top w:val="single" w:sz="6" w:space="0" w:color="000000"/>
              <w:start w:val="single" w:sz="6" w:space="0" w:color="000000"/>
              <w:bottom w:val="single" w:sz="6" w:space="0" w:color="000000"/>
              <w:end w:val="single" w:sz="6" w:space="0" w:color="000000"/>
            </w:tcBorders>
            <w:shd w:fill="FFDE59" w:val="clear"/>
            <w:vAlign w:val="center"/>
          </w:tcPr>
          <w:p>
            <w:pPr>
              <w:pStyle w:val="Zawartotabeli"/>
              <w:jc w:val="center"/>
              <w:rPr>
                <w:rFonts w:ascii="Calibri" w:hAnsi="Calibri"/>
                <w:b/>
                <w:bCs/>
              </w:rPr>
            </w:pPr>
            <w:r>
              <w:rPr>
                <w:rFonts w:ascii="Calibri" w:hAnsi="Calibri"/>
                <w:b/>
                <w:bCs/>
              </w:rPr>
              <w:t>Asystent Rodziny Fundusz Pracy - dofinansowanie do wynagrodzenia</w:t>
            </w:r>
          </w:p>
        </w:tc>
        <w:tc>
          <w:tcPr>
            <w:tcW w:w="2718" w:type="dxa"/>
            <w:tcBorders>
              <w:start w:val="single" w:sz="2" w:space="0" w:color="000000"/>
              <w:bottom w:val="single" w:sz="2" w:space="0" w:color="000000"/>
            </w:tcBorders>
            <w:shd w:fill="E6E905" w:val="clear"/>
            <w:vAlign w:val="center"/>
          </w:tcPr>
          <w:p>
            <w:pPr>
              <w:pStyle w:val="Zawartotabeli"/>
              <w:jc w:val="center"/>
              <w:rPr>
                <w:rFonts w:ascii="Calibri" w:hAnsi="Calibri"/>
              </w:rPr>
            </w:pPr>
            <w:r>
              <w:rPr>
                <w:rFonts w:ascii="Calibri" w:hAnsi="Calibri"/>
              </w:rPr>
              <w:t xml:space="preserve">wynagrodzenia </w:t>
              <w:br/>
              <w:t>i pochodne</w:t>
              <w:br/>
              <w:t>- dotacja celowa - 9 385,72 zł</w:t>
              <w:br/>
              <w:t>- środki własne -   2 486,69 zł</w:t>
            </w:r>
          </w:p>
        </w:tc>
        <w:tc>
          <w:tcPr>
            <w:tcW w:w="1742" w:type="dxa"/>
            <w:tcBorders>
              <w:start w:val="single" w:sz="2" w:space="0" w:color="000000"/>
              <w:bottom w:val="single" w:sz="2" w:space="0" w:color="000000"/>
              <w:end w:val="single" w:sz="2" w:space="0" w:color="000000"/>
            </w:tcBorders>
            <w:shd w:fill="5EB91E" w:val="clear"/>
            <w:vAlign w:val="center"/>
          </w:tcPr>
          <w:p>
            <w:pPr>
              <w:pStyle w:val="Zawartotabeli"/>
              <w:jc w:val="center"/>
              <w:rPr>
                <w:rFonts w:ascii="Calibri" w:hAnsi="Calibri"/>
                <w:b/>
                <w:bCs/>
              </w:rPr>
            </w:pPr>
            <w:r>
              <w:rPr>
                <w:rFonts w:ascii="Calibri" w:hAnsi="Calibri"/>
                <w:b/>
                <w:bCs/>
              </w:rPr>
              <w:t>11 872,41 zł</w:t>
            </w:r>
          </w:p>
        </w:tc>
      </w:tr>
      <w:tr>
        <w:trPr/>
        <w:tc>
          <w:tcPr>
            <w:tcW w:w="450" w:type="dxa"/>
            <w:tcBorders>
              <w:start w:val="single" w:sz="2" w:space="0" w:color="000000"/>
              <w:bottom w:val="single" w:sz="2" w:space="0" w:color="000000"/>
              <w:end w:val="single" w:sz="2" w:space="0" w:color="000000"/>
            </w:tcBorders>
            <w:shd w:fill="FFBF00" w:val="clear"/>
            <w:vAlign w:val="center"/>
          </w:tcPr>
          <w:p>
            <w:pPr>
              <w:pStyle w:val="Zawartotabeli"/>
              <w:jc w:val="center"/>
              <w:rPr>
                <w:rFonts w:ascii="Calibri" w:hAnsi="Calibri"/>
                <w:b/>
                <w:bCs/>
              </w:rPr>
            </w:pPr>
            <w:r>
              <w:rPr>
                <w:rFonts w:ascii="Calibri" w:hAnsi="Calibri"/>
                <w:b/>
                <w:bCs/>
              </w:rPr>
              <w:t>25.</w:t>
            </w:r>
          </w:p>
        </w:tc>
        <w:tc>
          <w:tcPr>
            <w:tcW w:w="1450" w:type="dxa"/>
            <w:tcBorders>
              <w:start w:val="single" w:sz="2" w:space="0" w:color="000000"/>
              <w:bottom w:val="single" w:sz="2" w:space="0" w:color="000000"/>
            </w:tcBorders>
            <w:shd w:fill="ACB20C" w:val="clear"/>
            <w:vAlign w:val="center"/>
          </w:tcPr>
          <w:p>
            <w:pPr>
              <w:pStyle w:val="Zawartotabeli"/>
              <w:jc w:val="center"/>
              <w:rPr>
                <w:rFonts w:ascii="Calibri" w:hAnsi="Calibri"/>
                <w:b/>
                <w:bCs/>
              </w:rPr>
            </w:pPr>
            <w:r>
              <w:rPr>
                <w:rFonts w:ascii="Calibri" w:hAnsi="Calibri"/>
                <w:b/>
                <w:bCs/>
              </w:rPr>
              <w:t>85504</w:t>
            </w:r>
          </w:p>
        </w:tc>
        <w:tc>
          <w:tcPr>
            <w:tcW w:w="3090" w:type="dxa"/>
            <w:tcBorders>
              <w:start w:val="single" w:sz="2" w:space="0" w:color="000000"/>
              <w:bottom w:val="single" w:sz="2" w:space="0" w:color="000000"/>
              <w:end w:val="single" w:sz="2" w:space="0" w:color="000000"/>
            </w:tcBorders>
            <w:shd w:fill="FFDE59" w:val="clear"/>
            <w:vAlign w:val="center"/>
          </w:tcPr>
          <w:p>
            <w:pPr>
              <w:pStyle w:val="Zawartotabeli"/>
              <w:jc w:val="center"/>
              <w:rPr>
                <w:rFonts w:ascii="Calibri" w:hAnsi="Calibri"/>
                <w:b/>
                <w:bCs/>
              </w:rPr>
            </w:pPr>
            <w:r>
              <w:rPr>
                <w:rFonts w:ascii="Calibri" w:hAnsi="Calibri"/>
                <w:b/>
                <w:bCs/>
              </w:rPr>
              <w:t>Asystent Rodziny Fundusz Pracy - dofinansowanie do dodatków</w:t>
            </w:r>
          </w:p>
        </w:tc>
        <w:tc>
          <w:tcPr>
            <w:tcW w:w="2718" w:type="dxa"/>
            <w:tcBorders>
              <w:start w:val="single" w:sz="2" w:space="0" w:color="000000"/>
              <w:bottom w:val="single" w:sz="2" w:space="0" w:color="000000"/>
            </w:tcBorders>
            <w:shd w:fill="E6E905" w:val="clear"/>
            <w:vAlign w:val="center"/>
          </w:tcPr>
          <w:p>
            <w:pPr>
              <w:pStyle w:val="Zawartotabeli"/>
              <w:jc w:val="center"/>
              <w:rPr>
                <w:rFonts w:ascii="Calibri" w:hAnsi="Calibri"/>
              </w:rPr>
            </w:pPr>
            <w:r>
              <w:rPr>
                <w:rFonts w:ascii="Calibri" w:hAnsi="Calibri"/>
              </w:rPr>
              <w:t xml:space="preserve">wynagrodzenia </w:t>
              <w:br/>
              <w:t>i pochodne</w:t>
              <w:br/>
              <w:t>- dotacja celowa -   63 488,00 zł</w:t>
              <w:br/>
              <w:t>- środki własne -   187 139,09 zł</w:t>
            </w:r>
          </w:p>
        </w:tc>
        <w:tc>
          <w:tcPr>
            <w:tcW w:w="1742" w:type="dxa"/>
            <w:tcBorders>
              <w:start w:val="single" w:sz="2" w:space="0" w:color="000000"/>
              <w:bottom w:val="single" w:sz="2" w:space="0" w:color="000000"/>
              <w:end w:val="single" w:sz="2" w:space="0" w:color="000000"/>
            </w:tcBorders>
            <w:shd w:fill="5EB91E" w:val="clear"/>
            <w:vAlign w:val="center"/>
          </w:tcPr>
          <w:p>
            <w:pPr>
              <w:pStyle w:val="Zawartotabeli"/>
              <w:jc w:val="center"/>
              <w:rPr>
                <w:rFonts w:ascii="Calibri" w:hAnsi="Calibri"/>
                <w:b/>
                <w:bCs/>
              </w:rPr>
            </w:pPr>
            <w:r>
              <w:rPr>
                <w:rFonts w:ascii="Calibri" w:hAnsi="Calibri"/>
                <w:b/>
                <w:bCs/>
              </w:rPr>
              <w:t>250 627,09 zł</w:t>
            </w:r>
          </w:p>
        </w:tc>
      </w:tr>
      <w:tr>
        <w:trPr/>
        <w:tc>
          <w:tcPr>
            <w:tcW w:w="450" w:type="dxa"/>
            <w:tcBorders>
              <w:start w:val="single" w:sz="2" w:space="0" w:color="000000"/>
              <w:bottom w:val="single" w:sz="2" w:space="0" w:color="000000"/>
              <w:end w:val="single" w:sz="2" w:space="0" w:color="000000"/>
            </w:tcBorders>
            <w:shd w:fill="FFBF00" w:val="clear"/>
            <w:vAlign w:val="center"/>
          </w:tcPr>
          <w:p>
            <w:pPr>
              <w:pStyle w:val="Zawartotabeli"/>
              <w:jc w:val="center"/>
              <w:rPr>
                <w:rFonts w:ascii="Calibri" w:hAnsi="Calibri"/>
                <w:b/>
                <w:bCs/>
              </w:rPr>
            </w:pPr>
            <w:r>
              <w:rPr>
                <w:rFonts w:ascii="Calibri" w:hAnsi="Calibri"/>
                <w:b/>
                <w:bCs/>
              </w:rPr>
              <w:t>26.</w:t>
            </w:r>
          </w:p>
        </w:tc>
        <w:tc>
          <w:tcPr>
            <w:tcW w:w="1450" w:type="dxa"/>
            <w:tcBorders>
              <w:start w:val="single" w:sz="2" w:space="0" w:color="000000"/>
              <w:bottom w:val="single" w:sz="2" w:space="0" w:color="000000"/>
            </w:tcBorders>
            <w:shd w:fill="ACB20C" w:val="clear"/>
            <w:vAlign w:val="center"/>
          </w:tcPr>
          <w:p>
            <w:pPr>
              <w:pStyle w:val="Zawartotabeli"/>
              <w:jc w:val="center"/>
              <w:rPr>
                <w:rFonts w:ascii="Calibri" w:hAnsi="Calibri"/>
                <w:b/>
                <w:bCs/>
              </w:rPr>
            </w:pPr>
            <w:r>
              <w:rPr>
                <w:rFonts w:ascii="Calibri" w:hAnsi="Calibri"/>
                <w:b/>
                <w:bCs/>
              </w:rPr>
              <w:t>85504</w:t>
            </w:r>
          </w:p>
        </w:tc>
        <w:tc>
          <w:tcPr>
            <w:tcW w:w="3090" w:type="dxa"/>
            <w:tcBorders>
              <w:start w:val="single" w:sz="2" w:space="0" w:color="000000"/>
              <w:bottom w:val="single" w:sz="2" w:space="0" w:color="000000"/>
              <w:end w:val="single" w:sz="2" w:space="0" w:color="000000"/>
            </w:tcBorders>
            <w:shd w:fill="FFDE59" w:val="clear"/>
            <w:vAlign w:val="center"/>
          </w:tcPr>
          <w:p>
            <w:pPr>
              <w:pStyle w:val="Zawartotabeli"/>
              <w:jc w:val="center"/>
              <w:rPr>
                <w:rFonts w:ascii="Calibri" w:hAnsi="Calibri"/>
                <w:b/>
                <w:bCs/>
              </w:rPr>
            </w:pPr>
            <w:r>
              <w:rPr>
                <w:rFonts w:ascii="Calibri" w:hAnsi="Calibri"/>
                <w:b/>
                <w:bCs/>
              </w:rPr>
              <w:t>Dodatki motywacyjne</w:t>
            </w:r>
          </w:p>
        </w:tc>
        <w:tc>
          <w:tcPr>
            <w:tcW w:w="2718" w:type="dxa"/>
            <w:tcBorders>
              <w:start w:val="single" w:sz="2" w:space="0" w:color="000000"/>
              <w:bottom w:val="single" w:sz="2" w:space="0" w:color="000000"/>
            </w:tcBorders>
            <w:shd w:fill="E6E905" w:val="clear"/>
            <w:vAlign w:val="center"/>
          </w:tcPr>
          <w:p>
            <w:pPr>
              <w:pStyle w:val="Zawartotabeli"/>
              <w:jc w:val="center"/>
              <w:rPr>
                <w:rFonts w:ascii="Calibri" w:hAnsi="Calibri"/>
              </w:rPr>
            </w:pPr>
            <w:r>
              <w:rPr>
                <w:rFonts w:ascii="Calibri" w:hAnsi="Calibri"/>
              </w:rPr>
            </w:r>
          </w:p>
        </w:tc>
        <w:tc>
          <w:tcPr>
            <w:tcW w:w="1742" w:type="dxa"/>
            <w:tcBorders>
              <w:start w:val="single" w:sz="2" w:space="0" w:color="000000"/>
              <w:bottom w:val="single" w:sz="2" w:space="0" w:color="000000"/>
              <w:end w:val="single" w:sz="2" w:space="0" w:color="000000"/>
            </w:tcBorders>
            <w:shd w:fill="5EB91E" w:val="clear"/>
            <w:vAlign w:val="center"/>
          </w:tcPr>
          <w:p>
            <w:pPr>
              <w:pStyle w:val="Zawartotabeli"/>
              <w:jc w:val="center"/>
              <w:rPr>
                <w:rFonts w:ascii="Calibri" w:hAnsi="Calibri"/>
                <w:b/>
                <w:bCs/>
              </w:rPr>
            </w:pPr>
            <w:r>
              <w:rPr>
                <w:rFonts w:ascii="Calibri" w:hAnsi="Calibri"/>
                <w:b/>
                <w:bCs/>
              </w:rPr>
              <w:t>55 105,85 zł</w:t>
            </w:r>
          </w:p>
        </w:tc>
      </w:tr>
      <w:tr>
        <w:trPr/>
        <w:tc>
          <w:tcPr>
            <w:tcW w:w="450" w:type="dxa"/>
            <w:tcBorders>
              <w:start w:val="single" w:sz="2" w:space="0" w:color="000000"/>
              <w:bottom w:val="single" w:sz="2" w:space="0" w:color="000000"/>
              <w:end w:val="single" w:sz="2" w:space="0" w:color="000000"/>
            </w:tcBorders>
            <w:shd w:fill="FFBF00" w:val="clear"/>
            <w:vAlign w:val="center"/>
          </w:tcPr>
          <w:p>
            <w:pPr>
              <w:pStyle w:val="Zawartotabeli"/>
              <w:jc w:val="center"/>
              <w:rPr>
                <w:rFonts w:ascii="Calibri" w:hAnsi="Calibri"/>
                <w:b/>
                <w:bCs/>
              </w:rPr>
            </w:pPr>
            <w:r>
              <w:rPr>
                <w:rFonts w:ascii="Calibri" w:hAnsi="Calibri"/>
                <w:b/>
                <w:bCs/>
              </w:rPr>
              <w:t>27.</w:t>
            </w:r>
          </w:p>
        </w:tc>
        <w:tc>
          <w:tcPr>
            <w:tcW w:w="1450" w:type="dxa"/>
            <w:tcBorders>
              <w:start w:val="single" w:sz="2" w:space="0" w:color="000000"/>
              <w:bottom w:val="single" w:sz="2" w:space="0" w:color="000000"/>
            </w:tcBorders>
            <w:shd w:fill="ACB20C" w:val="clear"/>
            <w:vAlign w:val="center"/>
          </w:tcPr>
          <w:p>
            <w:pPr>
              <w:pStyle w:val="Zawartotabeli"/>
              <w:jc w:val="center"/>
              <w:rPr>
                <w:rFonts w:ascii="Calibri" w:hAnsi="Calibri"/>
                <w:b/>
                <w:bCs/>
              </w:rPr>
            </w:pPr>
            <w:r>
              <w:rPr>
                <w:rFonts w:ascii="Calibri" w:hAnsi="Calibri"/>
                <w:b/>
                <w:bCs/>
              </w:rPr>
              <w:t>85508</w:t>
            </w:r>
          </w:p>
        </w:tc>
        <w:tc>
          <w:tcPr>
            <w:tcW w:w="3090" w:type="dxa"/>
            <w:tcBorders>
              <w:start w:val="single" w:sz="2" w:space="0" w:color="000000"/>
              <w:bottom w:val="single" w:sz="2" w:space="0" w:color="000000"/>
            </w:tcBorders>
            <w:shd w:fill="FFDE59" w:val="clear"/>
            <w:vAlign w:val="center"/>
          </w:tcPr>
          <w:p>
            <w:pPr>
              <w:pStyle w:val="Zawartotabeli"/>
              <w:jc w:val="center"/>
              <w:rPr>
                <w:rFonts w:ascii="Calibri" w:hAnsi="Calibri"/>
                <w:b/>
                <w:bCs/>
              </w:rPr>
            </w:pPr>
            <w:r>
              <w:rPr>
                <w:rFonts w:ascii="Calibri" w:hAnsi="Calibri"/>
                <w:b/>
                <w:bCs/>
              </w:rPr>
              <w:t>Piecza zastępcza</w:t>
            </w:r>
          </w:p>
        </w:tc>
        <w:tc>
          <w:tcPr>
            <w:tcW w:w="2718" w:type="dxa"/>
            <w:tcBorders>
              <w:start w:val="single" w:sz="2" w:space="0" w:color="000000"/>
              <w:bottom w:val="single" w:sz="2" w:space="0" w:color="000000"/>
            </w:tcBorders>
            <w:shd w:fill="E6E905" w:val="clear"/>
            <w:vAlign w:val="center"/>
          </w:tcPr>
          <w:p>
            <w:pPr>
              <w:pStyle w:val="Zawartotabeli"/>
              <w:jc w:val="center"/>
              <w:rPr>
                <w:rFonts w:ascii="Calibri" w:hAnsi="Calibri"/>
              </w:rPr>
            </w:pPr>
            <w:r>
              <w:rPr>
                <w:rFonts w:ascii="Calibri" w:hAnsi="Calibri"/>
              </w:rPr>
            </w:r>
          </w:p>
        </w:tc>
        <w:tc>
          <w:tcPr>
            <w:tcW w:w="1742" w:type="dxa"/>
            <w:tcBorders>
              <w:start w:val="single" w:sz="2" w:space="0" w:color="000000"/>
              <w:bottom w:val="single" w:sz="2" w:space="0" w:color="000000"/>
              <w:end w:val="single" w:sz="2" w:space="0" w:color="000000"/>
            </w:tcBorders>
            <w:shd w:fill="5EB91E" w:val="clear"/>
            <w:vAlign w:val="center"/>
          </w:tcPr>
          <w:p>
            <w:pPr>
              <w:pStyle w:val="Zawartotabeli"/>
              <w:jc w:val="center"/>
              <w:rPr>
                <w:rFonts w:ascii="Calibri" w:hAnsi="Calibri"/>
                <w:b/>
                <w:bCs/>
              </w:rPr>
            </w:pPr>
            <w:r>
              <w:rPr>
                <w:rFonts w:ascii="Calibri" w:hAnsi="Calibri"/>
                <w:b/>
                <w:bCs/>
              </w:rPr>
              <w:t>2 099 404,91 zł</w:t>
            </w:r>
          </w:p>
        </w:tc>
      </w:tr>
      <w:tr>
        <w:trPr/>
        <w:tc>
          <w:tcPr>
            <w:tcW w:w="450" w:type="dxa"/>
            <w:vMerge w:val="restart"/>
            <w:tcBorders>
              <w:start w:val="single" w:sz="2" w:space="0" w:color="000000"/>
              <w:bottom w:val="single" w:sz="2" w:space="0" w:color="000000"/>
              <w:end w:val="single" w:sz="2" w:space="0" w:color="000000"/>
            </w:tcBorders>
            <w:shd w:fill="FFBF00" w:val="clear"/>
            <w:vAlign w:val="center"/>
          </w:tcPr>
          <w:p>
            <w:pPr>
              <w:pStyle w:val="Zawartotabeli"/>
              <w:jc w:val="center"/>
              <w:rPr>
                <w:rFonts w:ascii="Calibri" w:hAnsi="Calibri"/>
                <w:b/>
                <w:bCs/>
              </w:rPr>
            </w:pPr>
            <w:r>
              <w:rPr>
                <w:rFonts w:ascii="Calibri" w:hAnsi="Calibri"/>
                <w:b/>
                <w:bCs/>
              </w:rPr>
              <w:t>28.</w:t>
            </w:r>
          </w:p>
        </w:tc>
        <w:tc>
          <w:tcPr>
            <w:tcW w:w="1450" w:type="dxa"/>
            <w:vMerge w:val="restart"/>
            <w:tcBorders>
              <w:start w:val="single" w:sz="2" w:space="0" w:color="000000"/>
              <w:bottom w:val="single" w:sz="2" w:space="0" w:color="000000"/>
            </w:tcBorders>
            <w:shd w:fill="ACB20C" w:val="clear"/>
            <w:vAlign w:val="center"/>
          </w:tcPr>
          <w:p>
            <w:pPr>
              <w:pStyle w:val="Zawartotabeli"/>
              <w:jc w:val="center"/>
              <w:rPr>
                <w:rFonts w:ascii="Calibri" w:hAnsi="Calibri"/>
                <w:b/>
                <w:bCs/>
              </w:rPr>
            </w:pPr>
            <w:r>
              <w:rPr>
                <w:rFonts w:ascii="Calibri" w:hAnsi="Calibri"/>
                <w:b/>
                <w:bCs/>
              </w:rPr>
              <w:t>90005</w:t>
            </w:r>
          </w:p>
        </w:tc>
        <w:tc>
          <w:tcPr>
            <w:tcW w:w="3090" w:type="dxa"/>
            <w:vMerge w:val="restart"/>
            <w:tcBorders>
              <w:start w:val="single" w:sz="2" w:space="0" w:color="000000"/>
              <w:bottom w:val="single" w:sz="2" w:space="0" w:color="000000"/>
            </w:tcBorders>
            <w:shd w:fill="FFDE59" w:val="clear"/>
            <w:vAlign w:val="center"/>
          </w:tcPr>
          <w:p>
            <w:pPr>
              <w:pStyle w:val="Zawartotabeli"/>
              <w:jc w:val="center"/>
              <w:rPr>
                <w:rFonts w:ascii="Calibri" w:hAnsi="Calibri"/>
                <w:b/>
                <w:bCs/>
              </w:rPr>
            </w:pPr>
            <w:r>
              <w:rPr>
                <w:rFonts w:ascii="Calibri" w:hAnsi="Calibri"/>
                <w:b/>
                <w:bCs/>
              </w:rPr>
              <w:t>Ochrona powietrza atmosferycznego</w:t>
            </w:r>
          </w:p>
        </w:tc>
        <w:tc>
          <w:tcPr>
            <w:tcW w:w="2718" w:type="dxa"/>
            <w:tcBorders>
              <w:start w:val="single" w:sz="2" w:space="0" w:color="000000"/>
              <w:bottom w:val="single" w:sz="2" w:space="0" w:color="000000"/>
            </w:tcBorders>
            <w:shd w:fill="E6E905" w:val="clear"/>
            <w:vAlign w:val="center"/>
          </w:tcPr>
          <w:p>
            <w:pPr>
              <w:pStyle w:val="Zawartotabeli"/>
              <w:jc w:val="center"/>
              <w:rPr>
                <w:rFonts w:ascii="Calibri" w:hAnsi="Calibri"/>
              </w:rPr>
            </w:pPr>
            <w:r>
              <w:rPr>
                <w:rFonts w:ascii="Calibri" w:hAnsi="Calibri"/>
              </w:rPr>
            </w:r>
          </w:p>
        </w:tc>
        <w:tc>
          <w:tcPr>
            <w:tcW w:w="1742" w:type="dxa"/>
            <w:tcBorders>
              <w:start w:val="single" w:sz="2" w:space="0" w:color="000000"/>
              <w:bottom w:val="single" w:sz="2" w:space="0" w:color="000000"/>
              <w:end w:val="single" w:sz="2" w:space="0" w:color="000000"/>
            </w:tcBorders>
            <w:shd w:fill="5EB91E" w:val="clear"/>
            <w:vAlign w:val="center"/>
          </w:tcPr>
          <w:p>
            <w:pPr>
              <w:pStyle w:val="Zawartotabeli"/>
              <w:jc w:val="center"/>
              <w:rPr>
                <w:rFonts w:ascii="Calibri" w:hAnsi="Calibri"/>
                <w:b/>
                <w:bCs/>
              </w:rPr>
            </w:pPr>
            <w:r>
              <w:rPr>
                <w:rFonts w:ascii="Calibri" w:hAnsi="Calibri"/>
                <w:b/>
                <w:bCs/>
              </w:rPr>
              <w:t>2 640,32 zł</w:t>
            </w:r>
          </w:p>
        </w:tc>
      </w:tr>
      <w:tr>
        <w:trPr/>
        <w:tc>
          <w:tcPr>
            <w:tcW w:w="450" w:type="dxa"/>
            <w:vMerge w:val="continue"/>
            <w:tcBorders>
              <w:start w:val="single" w:sz="2" w:space="0" w:color="000000"/>
              <w:bottom w:val="single" w:sz="2" w:space="0" w:color="000000"/>
              <w:end w:val="single" w:sz="2" w:space="0" w:color="000000"/>
            </w:tcBorders>
            <w:shd w:fill="FFBF00" w:val="clear"/>
            <w:vAlign w:val="center"/>
          </w:tcPr>
          <w:p>
            <w:pPr>
              <w:pStyle w:val="Normal"/>
              <w:rPr/>
            </w:pPr>
            <w:r>
              <w:rPr/>
            </w:r>
          </w:p>
        </w:tc>
        <w:tc>
          <w:tcPr>
            <w:tcW w:w="1450" w:type="dxa"/>
            <w:vMerge w:val="continue"/>
            <w:tcBorders>
              <w:start w:val="single" w:sz="2" w:space="0" w:color="000000"/>
              <w:bottom w:val="single" w:sz="2" w:space="0" w:color="000000"/>
            </w:tcBorders>
            <w:shd w:fill="ACB20C" w:val="clear"/>
            <w:vAlign w:val="center"/>
          </w:tcPr>
          <w:p>
            <w:pPr>
              <w:pStyle w:val="Normal"/>
              <w:rPr/>
            </w:pPr>
            <w:r>
              <w:rPr/>
            </w:r>
          </w:p>
        </w:tc>
        <w:tc>
          <w:tcPr>
            <w:tcW w:w="3090" w:type="dxa"/>
            <w:vMerge w:val="continue"/>
            <w:tcBorders>
              <w:start w:val="single" w:sz="2" w:space="0" w:color="000000"/>
              <w:bottom w:val="single" w:sz="2" w:space="0" w:color="000000"/>
            </w:tcBorders>
            <w:shd w:fill="FFDE59" w:val="clear"/>
            <w:vAlign w:val="center"/>
          </w:tcPr>
          <w:p>
            <w:pPr>
              <w:pStyle w:val="Normal"/>
              <w:rPr/>
            </w:pPr>
            <w:r>
              <w:rPr/>
            </w:r>
          </w:p>
        </w:tc>
        <w:tc>
          <w:tcPr>
            <w:tcW w:w="2718" w:type="dxa"/>
            <w:tcBorders>
              <w:start w:val="single" w:sz="2" w:space="0" w:color="000000"/>
              <w:bottom w:val="single" w:sz="2" w:space="0" w:color="000000"/>
            </w:tcBorders>
            <w:shd w:fill="E6E905" w:val="clear"/>
            <w:vAlign w:val="center"/>
          </w:tcPr>
          <w:p>
            <w:pPr>
              <w:pStyle w:val="Zawartotabeli"/>
              <w:jc w:val="center"/>
              <w:rPr>
                <w:rFonts w:ascii="Calibri" w:hAnsi="Calibri"/>
              </w:rPr>
            </w:pPr>
            <w:r>
              <w:rPr>
                <w:rFonts w:ascii="Calibri" w:hAnsi="Calibri"/>
              </w:rPr>
              <w:t xml:space="preserve">wynagrodzenia </w:t>
              <w:br/>
              <w:t>i pochodne</w:t>
            </w:r>
          </w:p>
        </w:tc>
        <w:tc>
          <w:tcPr>
            <w:tcW w:w="1742" w:type="dxa"/>
            <w:tcBorders>
              <w:start w:val="single" w:sz="2" w:space="0" w:color="000000"/>
              <w:bottom w:val="single" w:sz="2" w:space="0" w:color="000000"/>
              <w:end w:val="single" w:sz="2" w:space="0" w:color="000000"/>
            </w:tcBorders>
            <w:shd w:fill="5EB91E" w:val="clear"/>
            <w:vAlign w:val="center"/>
          </w:tcPr>
          <w:p>
            <w:pPr>
              <w:pStyle w:val="Zawartotabeli"/>
              <w:jc w:val="center"/>
              <w:rPr>
                <w:rFonts w:ascii="Calibri" w:hAnsi="Calibri"/>
              </w:rPr>
            </w:pPr>
            <w:r>
              <w:rPr>
                <w:rFonts w:ascii="Calibri" w:hAnsi="Calibri"/>
              </w:rPr>
              <w:t>588,44 zł</w:t>
            </w:r>
          </w:p>
        </w:tc>
      </w:tr>
      <w:tr>
        <w:trPr/>
        <w:tc>
          <w:tcPr>
            <w:tcW w:w="450" w:type="dxa"/>
            <w:vMerge w:val="continue"/>
            <w:tcBorders>
              <w:start w:val="single" w:sz="2" w:space="0" w:color="000000"/>
              <w:bottom w:val="single" w:sz="2" w:space="0" w:color="000000"/>
              <w:end w:val="single" w:sz="2" w:space="0" w:color="000000"/>
            </w:tcBorders>
            <w:shd w:fill="FFBF00" w:val="clear"/>
            <w:vAlign w:val="center"/>
          </w:tcPr>
          <w:p>
            <w:pPr>
              <w:pStyle w:val="Normal"/>
              <w:rPr/>
            </w:pPr>
            <w:r>
              <w:rPr/>
            </w:r>
          </w:p>
        </w:tc>
        <w:tc>
          <w:tcPr>
            <w:tcW w:w="1450" w:type="dxa"/>
            <w:vMerge w:val="continue"/>
            <w:tcBorders>
              <w:start w:val="single" w:sz="2" w:space="0" w:color="000000"/>
              <w:bottom w:val="single" w:sz="2" w:space="0" w:color="000000"/>
            </w:tcBorders>
            <w:shd w:fill="ACB20C" w:val="clear"/>
            <w:vAlign w:val="center"/>
          </w:tcPr>
          <w:p>
            <w:pPr>
              <w:pStyle w:val="Normal"/>
              <w:rPr/>
            </w:pPr>
            <w:r>
              <w:rPr/>
            </w:r>
          </w:p>
        </w:tc>
        <w:tc>
          <w:tcPr>
            <w:tcW w:w="3090" w:type="dxa"/>
            <w:vMerge w:val="continue"/>
            <w:tcBorders>
              <w:start w:val="single" w:sz="2" w:space="0" w:color="000000"/>
              <w:bottom w:val="single" w:sz="2" w:space="0" w:color="000000"/>
            </w:tcBorders>
            <w:shd w:fill="FFDE59" w:val="clear"/>
            <w:vAlign w:val="center"/>
          </w:tcPr>
          <w:p>
            <w:pPr>
              <w:pStyle w:val="Normal"/>
              <w:rPr/>
            </w:pPr>
            <w:r>
              <w:rPr/>
            </w:r>
          </w:p>
        </w:tc>
        <w:tc>
          <w:tcPr>
            <w:tcW w:w="2718" w:type="dxa"/>
            <w:tcBorders>
              <w:start w:val="single" w:sz="2" w:space="0" w:color="000000"/>
              <w:bottom w:val="single" w:sz="2" w:space="0" w:color="000000"/>
            </w:tcBorders>
            <w:shd w:fill="E6E905" w:val="clear"/>
            <w:vAlign w:val="center"/>
          </w:tcPr>
          <w:p>
            <w:pPr>
              <w:pStyle w:val="Zawartotabeli"/>
              <w:jc w:val="center"/>
              <w:rPr>
                <w:rFonts w:ascii="Calibri" w:hAnsi="Calibri"/>
              </w:rPr>
            </w:pPr>
            <w:r>
              <w:rPr>
                <w:rFonts w:ascii="Calibri" w:hAnsi="Calibri"/>
              </w:rPr>
              <w:t>pozostałe wydatki rzeczowe</w:t>
            </w:r>
          </w:p>
        </w:tc>
        <w:tc>
          <w:tcPr>
            <w:tcW w:w="1742" w:type="dxa"/>
            <w:tcBorders>
              <w:start w:val="single" w:sz="2" w:space="0" w:color="000000"/>
              <w:bottom w:val="single" w:sz="2" w:space="0" w:color="000000"/>
              <w:end w:val="single" w:sz="2" w:space="0" w:color="000000"/>
            </w:tcBorders>
            <w:shd w:fill="5EB91E" w:val="clear"/>
            <w:vAlign w:val="center"/>
          </w:tcPr>
          <w:p>
            <w:pPr>
              <w:pStyle w:val="Zawartotabeli"/>
              <w:jc w:val="center"/>
              <w:rPr>
                <w:rFonts w:ascii="Calibri" w:hAnsi="Calibri"/>
              </w:rPr>
            </w:pPr>
            <w:r>
              <w:rPr>
                <w:rFonts w:ascii="Calibri" w:hAnsi="Calibri"/>
              </w:rPr>
              <w:t>2 051,88 zł</w:t>
            </w:r>
          </w:p>
        </w:tc>
      </w:tr>
    </w:tbl>
    <w:p>
      <w:pPr>
        <w:pStyle w:val="Normal"/>
        <w:spacing w:lineRule="auto" w:line="360"/>
        <w:rPr>
          <w:rFonts w:ascii="Calibri" w:hAnsi="Calibri"/>
        </w:rPr>
      </w:pPr>
      <w:r>
        <w:rPr>
          <w:rFonts w:ascii="Calibri" w:hAnsi="Calibri"/>
        </w:rPr>
      </w:r>
    </w:p>
    <w:p>
      <w:pPr>
        <w:pStyle w:val="Normal"/>
        <w:spacing w:lineRule="auto" w:line="360"/>
        <w:jc w:val="both"/>
        <w:rPr>
          <w:rFonts w:ascii="Calibri" w:hAnsi="Calibri"/>
          <w:b/>
          <w:bCs/>
        </w:rPr>
      </w:pPr>
      <w:r>
        <w:rPr>
          <w:rFonts w:ascii="Calibri" w:hAnsi="Calibri"/>
          <w:b/>
          <w:bCs/>
        </w:rPr>
        <w:t>III. na realizację projektu „Tomaszowskie Centrum Usług Środowiskowych” (rozdział 85295) wydatkowano kwotę: 5 448 171,17 zł</w:t>
      </w:r>
    </w:p>
    <w:p>
      <w:pPr>
        <w:pStyle w:val="Normal"/>
        <w:numPr>
          <w:ilvl w:val="0"/>
          <w:numId w:val="10"/>
        </w:numPr>
        <w:spacing w:lineRule="auto" w:line="360"/>
        <w:jc w:val="both"/>
        <w:rPr>
          <w:rFonts w:ascii="Calibri" w:hAnsi="Calibri"/>
        </w:rPr>
      </w:pPr>
      <w:r>
        <w:rPr>
          <w:rFonts w:ascii="Calibri" w:hAnsi="Calibri"/>
        </w:rPr>
        <w:t>wkład własny</w:t>
        <w:tab/>
        <w:tab/>
        <w:t>834 651,73 zł</w:t>
      </w:r>
    </w:p>
    <w:p>
      <w:pPr>
        <w:pStyle w:val="Normal"/>
        <w:numPr>
          <w:ilvl w:val="0"/>
          <w:numId w:val="10"/>
        </w:numPr>
        <w:spacing w:lineRule="auto" w:line="360"/>
        <w:jc w:val="both"/>
        <w:rPr>
          <w:rFonts w:ascii="Calibri" w:hAnsi="Calibri"/>
        </w:rPr>
      </w:pPr>
      <w:r>
        <w:rPr>
          <w:rFonts w:ascii="Calibri" w:hAnsi="Calibri"/>
        </w:rPr>
        <w:t>wkład obcy</w:t>
        <w:tab/>
        <w:tab/>
        <w:t>4 613 519,44 zł</w:t>
      </w:r>
    </w:p>
    <w:p>
      <w:pPr>
        <w:pStyle w:val="Normal"/>
        <w:spacing w:lineRule="auto" w:line="360"/>
        <w:jc w:val="both"/>
        <w:rPr>
          <w:rFonts w:ascii="Calibri" w:hAnsi="Calibri"/>
          <w:b/>
          <w:bCs/>
        </w:rPr>
      </w:pPr>
      <w:r>
        <w:rPr>
          <w:rFonts w:ascii="Calibri" w:hAnsi="Calibri"/>
          <w:b/>
          <w:bCs/>
        </w:rPr>
        <w:t>IV. na realizację projektu „Miasto Dla Rodziny” (rozdział 85295) wydatkowano kwotę:</w:t>
        <w:br/>
        <w:t>816 230,02 zł</w:t>
      </w:r>
    </w:p>
    <w:p>
      <w:pPr>
        <w:pStyle w:val="Normal"/>
        <w:numPr>
          <w:ilvl w:val="0"/>
          <w:numId w:val="10"/>
        </w:numPr>
        <w:spacing w:lineRule="auto" w:line="360"/>
        <w:jc w:val="both"/>
        <w:rPr>
          <w:rFonts w:ascii="Calibri" w:hAnsi="Calibri"/>
        </w:rPr>
      </w:pPr>
      <w:r>
        <w:rPr>
          <w:rFonts w:ascii="Calibri" w:hAnsi="Calibri"/>
        </w:rPr>
        <w:t xml:space="preserve">wkład własny </w:t>
        <w:tab/>
        <w:tab/>
        <w:t>28 300,00 zł</w:t>
      </w:r>
    </w:p>
    <w:p>
      <w:pPr>
        <w:pStyle w:val="Normal"/>
        <w:numPr>
          <w:ilvl w:val="0"/>
          <w:numId w:val="10"/>
        </w:numPr>
        <w:spacing w:lineRule="auto" w:line="360"/>
        <w:jc w:val="both"/>
        <w:rPr>
          <w:rFonts w:ascii="Calibri" w:hAnsi="Calibri"/>
        </w:rPr>
      </w:pPr>
      <w:r>
        <w:rPr>
          <w:rFonts w:ascii="Calibri" w:hAnsi="Calibri"/>
        </w:rPr>
        <w:t>wkład obcy</w:t>
        <w:tab/>
        <w:tab/>
        <w:t>787 930,02 zł</w:t>
      </w:r>
    </w:p>
    <w:p>
      <w:pPr>
        <w:pStyle w:val="Normal"/>
        <w:spacing w:lineRule="auto" w:line="360"/>
        <w:jc w:val="both"/>
        <w:rPr>
          <w:rFonts w:ascii="Calibri" w:hAnsi="Calibri"/>
        </w:rPr>
      </w:pPr>
      <w:r>
        <w:rPr>
          <w:rFonts w:ascii="Calibri" w:hAnsi="Calibri"/>
        </w:rPr>
      </w:r>
    </w:p>
    <w:p>
      <w:pPr>
        <w:pStyle w:val="Normal"/>
        <w:spacing w:lineRule="auto" w:line="360"/>
        <w:jc w:val="both"/>
        <w:rPr>
          <w:rFonts w:ascii="Calibri" w:hAnsi="Calibri"/>
        </w:rPr>
      </w:pPr>
      <w:r>
        <w:rPr>
          <w:rFonts w:ascii="Calibri" w:hAnsi="Calibri"/>
        </w:rPr>
      </w:r>
    </w:p>
    <w:p>
      <w:pPr>
        <w:pStyle w:val="Normal"/>
        <w:spacing w:lineRule="auto" w:line="360"/>
        <w:jc w:val="both"/>
        <w:rPr>
          <w:rFonts w:ascii="Calibri" w:hAnsi="Calibri"/>
        </w:rPr>
      </w:pPr>
      <w:r>
        <w:rPr>
          <w:rFonts w:ascii="Calibri" w:hAnsi="Calibri"/>
        </w:rPr>
      </w:r>
      <w:r>
        <w:br w:type="page"/>
      </w:r>
    </w:p>
    <w:p>
      <w:pPr>
        <w:pStyle w:val="Normal"/>
        <w:spacing w:lineRule="auto" w:line="360"/>
        <w:jc w:val="center"/>
        <w:rPr/>
      </w:pPr>
      <w:r>
        <w:rPr>
          <w:rStyle w:val="Domylnaczcionkaakapitu"/>
          <w:rFonts w:ascii="Calibri" w:hAnsi="Calibri"/>
          <w:b/>
          <w:bCs/>
          <w:sz w:val="32"/>
          <w:szCs w:val="32"/>
        </w:rPr>
        <w:t xml:space="preserve">V. </w:t>
      </w:r>
      <w:r>
        <w:rPr>
          <w:rStyle w:val="Domylnaczcionkaakapitu"/>
          <w:rFonts w:cs="Calibri" w:ascii="Calibri" w:hAnsi="Calibri"/>
          <w:b/>
          <w:bCs/>
          <w:color w:val="55215B"/>
          <w:sz w:val="32"/>
          <w:szCs w:val="32"/>
        </w:rPr>
        <w:t xml:space="preserve"> </w:t>
      </w:r>
      <w:r>
        <w:rPr>
          <w:rStyle w:val="Domylnaczcionkaakapitu"/>
          <w:rFonts w:cs="Calibri" w:ascii="Calibri" w:hAnsi="Calibri"/>
          <w:b/>
          <w:bCs/>
          <w:color w:val="000000"/>
          <w:sz w:val="32"/>
          <w:szCs w:val="32"/>
        </w:rPr>
        <w:t>Realizacja projektów współfinansowanych ze środków Europejskiego Funduszu Społecznego Plus</w:t>
      </w:r>
    </w:p>
    <w:p>
      <w:pPr>
        <w:pStyle w:val="Normal"/>
        <w:spacing w:lineRule="auto" w:line="360"/>
        <w:jc w:val="both"/>
        <w:rPr>
          <w:rFonts w:ascii="Calibri" w:hAnsi="Calibri" w:cs="Calibri"/>
          <w:color w:val="000000"/>
        </w:rPr>
      </w:pPr>
      <w:r>
        <w:rPr>
          <w:rFonts w:cs="Calibri" w:ascii="Calibri" w:hAnsi="Calibri"/>
          <w:color w:val="000000"/>
        </w:rPr>
        <w:t>Miejski Ośrodek Pomocy Społecznej w Tomaszowie Mazowieckim w 2025 roku kontynuował realizację projektów: „Tomaszowskie Centrum Usług Środowiskowych” o wartości ponad 21 mln zł oraz „Miasto dla rodzony” o wartości ponad 3 mln zł.</w:t>
      </w:r>
    </w:p>
    <w:p>
      <w:pPr>
        <w:pStyle w:val="Normal"/>
        <w:spacing w:lineRule="auto" w:line="360"/>
        <w:jc w:val="both"/>
        <w:rPr/>
      </w:pPr>
      <w:r>
        <w:rPr>
          <w:rStyle w:val="Domylnaczcionkaakapitu"/>
          <w:rFonts w:cs="Calibri" w:ascii="Calibri" w:hAnsi="Calibri"/>
          <w:color w:val="000000"/>
        </w:rPr>
        <w:t>W ramach projektu pn. „Tomaszowskie Centrum Usług Środowiskowych” realizowane są następujące działania:</w:t>
      </w:r>
    </w:p>
    <w:p>
      <w:pPr>
        <w:pStyle w:val="Normal"/>
        <w:numPr>
          <w:ilvl w:val="0"/>
          <w:numId w:val="11"/>
        </w:numPr>
        <w:tabs>
          <w:tab w:val="clear" w:pos="709"/>
        </w:tabs>
        <w:spacing w:lineRule="auto" w:line="360"/>
        <w:ind w:start="426"/>
        <w:jc w:val="both"/>
        <w:rPr>
          <w:rFonts w:ascii="Calibri" w:hAnsi="Calibri" w:cs="Calibri"/>
          <w:color w:val="000000"/>
        </w:rPr>
      </w:pPr>
      <w:r>
        <w:rPr>
          <w:rFonts w:cs="Calibri" w:ascii="Calibri" w:hAnsi="Calibri"/>
          <w:color w:val="000000"/>
        </w:rPr>
        <w:t>Opieka całodzienna w trzech Dziennych Domach Pomocy świadczących usługi opiekuńcze, specjalistyczne usługi opiekuńcze oraz aktywizację w sferze fizycznej, intelektualnej oraz społecznej.</w:t>
      </w:r>
    </w:p>
    <w:p>
      <w:pPr>
        <w:pStyle w:val="Normal"/>
        <w:numPr>
          <w:ilvl w:val="0"/>
          <w:numId w:val="11"/>
        </w:numPr>
        <w:tabs>
          <w:tab w:val="clear" w:pos="709"/>
        </w:tabs>
        <w:spacing w:lineRule="auto" w:line="360"/>
        <w:ind w:start="426"/>
        <w:jc w:val="both"/>
        <w:rPr>
          <w:rFonts w:ascii="Calibri" w:hAnsi="Calibri" w:cs="Calibri"/>
          <w:color w:val="000000"/>
        </w:rPr>
      </w:pPr>
      <w:r>
        <w:rPr>
          <w:rFonts w:cs="Calibri" w:ascii="Calibri" w:hAnsi="Calibri"/>
          <w:color w:val="000000"/>
        </w:rPr>
        <w:t xml:space="preserve">Usługi opiekuńcze w miejscu zamieszkania, których zakres obejmuje m. in. pomoc </w:t>
        <w:br/>
        <w:t>w zaspokajaniu codziennych potrzeb życiowych, opiekę higieniczną, pielęgnację zaleconą przez lekarza, zapewnienie kontaktów z otoczeniem.</w:t>
      </w:r>
    </w:p>
    <w:p>
      <w:pPr>
        <w:pStyle w:val="Normal"/>
        <w:numPr>
          <w:ilvl w:val="0"/>
          <w:numId w:val="11"/>
        </w:numPr>
        <w:tabs>
          <w:tab w:val="clear" w:pos="709"/>
        </w:tabs>
        <w:spacing w:lineRule="auto" w:line="360"/>
        <w:ind w:start="426"/>
        <w:jc w:val="both"/>
        <w:rPr>
          <w:rFonts w:ascii="Calibri" w:hAnsi="Calibri" w:cs="Calibri"/>
          <w:color w:val="000000"/>
        </w:rPr>
      </w:pPr>
      <w:r>
        <w:rPr>
          <w:rFonts w:cs="Calibri" w:ascii="Calibri" w:hAnsi="Calibri"/>
          <w:color w:val="000000"/>
        </w:rPr>
        <w:t>Specjalistyczne usługi opiekuńcze, których zakres dostosowany jest do szczególnych potrzeb wynikających z rodzaju schorzenia lub niepełnosprawności osoby, w tym: pomoc w zaspokajaniu codziennych potrzeb życiowych, opiekę higieniczną, zleconą przez lekarza pielęgnację, zapewnienie kontaktów z otoczeniem jak również pielęgnację jako wspieranie procesu leczenia, rehabilitację fizyczną i usprawnianie zaburzonych funkcji organizmu.</w:t>
      </w:r>
    </w:p>
    <w:p>
      <w:pPr>
        <w:pStyle w:val="Normal"/>
        <w:numPr>
          <w:ilvl w:val="0"/>
          <w:numId w:val="11"/>
        </w:numPr>
        <w:tabs>
          <w:tab w:val="clear" w:pos="709"/>
        </w:tabs>
        <w:spacing w:lineRule="auto" w:line="360"/>
        <w:ind w:start="426"/>
        <w:jc w:val="both"/>
        <w:rPr>
          <w:rFonts w:ascii="Calibri" w:hAnsi="Calibri" w:cs="Calibri"/>
          <w:color w:val="000000"/>
        </w:rPr>
      </w:pPr>
      <w:r>
        <w:rPr>
          <w:rFonts w:cs="Calibri" w:ascii="Calibri" w:hAnsi="Calibri"/>
          <w:color w:val="000000"/>
        </w:rPr>
        <w:t xml:space="preserve">Usługi asystenckie obejmujące wspieranie osób, w tym w szczególności osób </w:t>
        <w:br/>
        <w:t>z niepełnosprawnościami, w wykonywaniu podstawowych czynności dnia codziennego, niezbędnych do aktywnego funkcjonowania społecznego, zawodowego, edukacyjnego.</w:t>
      </w:r>
    </w:p>
    <w:p>
      <w:pPr>
        <w:pStyle w:val="Normal"/>
        <w:numPr>
          <w:ilvl w:val="0"/>
          <w:numId w:val="11"/>
        </w:numPr>
        <w:tabs>
          <w:tab w:val="clear" w:pos="709"/>
        </w:tabs>
        <w:spacing w:lineRule="auto" w:line="360"/>
        <w:ind w:start="426"/>
        <w:jc w:val="both"/>
        <w:rPr>
          <w:rFonts w:ascii="Calibri" w:hAnsi="Calibri" w:cs="Calibri"/>
          <w:color w:val="000000"/>
        </w:rPr>
      </w:pPr>
      <w:r>
        <w:rPr>
          <w:rFonts w:cs="Calibri" w:ascii="Calibri" w:hAnsi="Calibri"/>
          <w:color w:val="000000"/>
        </w:rPr>
        <w:t>Mieszkania wspomagane stanowiące alternatywę dla opieki instytucjonalnej. Usługa ma charakter pobytu stałego lub okresowego</w:t>
      </w:r>
    </w:p>
    <w:p>
      <w:pPr>
        <w:pStyle w:val="Normal"/>
        <w:numPr>
          <w:ilvl w:val="0"/>
          <w:numId w:val="11"/>
        </w:numPr>
        <w:tabs>
          <w:tab w:val="clear" w:pos="709"/>
        </w:tabs>
        <w:spacing w:lineRule="auto" w:line="360"/>
        <w:ind w:start="426"/>
        <w:jc w:val="both"/>
        <w:rPr>
          <w:rFonts w:ascii="Calibri" w:hAnsi="Calibri" w:cs="Calibri"/>
          <w:color w:val="000000"/>
        </w:rPr>
      </w:pPr>
      <w:r>
        <w:rPr>
          <w:rFonts w:cs="Calibri" w:ascii="Calibri" w:hAnsi="Calibri"/>
          <w:color w:val="000000"/>
        </w:rPr>
        <w:t xml:space="preserve">Klub Seniora będący usługą opiekuńczą w formie stacjonarnej opieki dziennej realizowanej </w:t>
        <w:br/>
        <w:t>w formie klubu dla osób potrzebujących wsparcia w codziennym funkcjonowaniu w wieku powyżej 60 lat.</w:t>
      </w:r>
    </w:p>
    <w:p>
      <w:pPr>
        <w:pStyle w:val="Normal"/>
        <w:numPr>
          <w:ilvl w:val="0"/>
          <w:numId w:val="11"/>
        </w:numPr>
        <w:tabs>
          <w:tab w:val="clear" w:pos="709"/>
        </w:tabs>
        <w:spacing w:lineRule="auto" w:line="360"/>
        <w:ind w:start="426"/>
        <w:jc w:val="both"/>
        <w:rPr>
          <w:rFonts w:ascii="Calibri" w:hAnsi="Calibri" w:cs="Calibri"/>
          <w:color w:val="000000"/>
        </w:rPr>
      </w:pPr>
      <w:r>
        <w:rPr>
          <w:rFonts w:cs="Calibri" w:ascii="Calibri" w:hAnsi="Calibri"/>
          <w:color w:val="000000"/>
        </w:rPr>
        <w:t>Wypożyczalnia sprzętu, w tym rehabilitacyjnego i pomocowego.</w:t>
      </w:r>
    </w:p>
    <w:p>
      <w:pPr>
        <w:pStyle w:val="Normal"/>
        <w:numPr>
          <w:ilvl w:val="0"/>
          <w:numId w:val="11"/>
        </w:numPr>
        <w:tabs>
          <w:tab w:val="clear" w:pos="709"/>
        </w:tabs>
        <w:spacing w:lineRule="auto" w:line="360"/>
        <w:ind w:start="426"/>
        <w:jc w:val="both"/>
        <w:rPr>
          <w:rFonts w:ascii="Calibri" w:hAnsi="Calibri" w:cs="Calibri"/>
          <w:color w:val="000000"/>
        </w:rPr>
      </w:pPr>
      <w:r>
        <w:rPr>
          <w:rFonts w:cs="Calibri" w:ascii="Calibri" w:hAnsi="Calibri"/>
          <w:color w:val="000000"/>
        </w:rPr>
        <w:t>Wsparcie psychologiczne.</w:t>
      </w:r>
    </w:p>
    <w:p>
      <w:pPr>
        <w:pStyle w:val="Normal"/>
        <w:numPr>
          <w:ilvl w:val="0"/>
          <w:numId w:val="11"/>
        </w:numPr>
        <w:tabs>
          <w:tab w:val="clear" w:pos="709"/>
        </w:tabs>
        <w:spacing w:lineRule="auto" w:line="360"/>
        <w:ind w:start="426"/>
        <w:jc w:val="both"/>
        <w:rPr>
          <w:rFonts w:ascii="Calibri" w:hAnsi="Calibri" w:cs="Calibri"/>
          <w:color w:val="000000"/>
        </w:rPr>
      </w:pPr>
      <w:r>
        <w:rPr>
          <w:rFonts w:cs="Calibri" w:ascii="Calibri" w:hAnsi="Calibri"/>
          <w:color w:val="000000"/>
        </w:rPr>
        <w:t>Posiłki dowożone.</w:t>
      </w:r>
    </w:p>
    <w:p>
      <w:pPr>
        <w:pStyle w:val="Normal"/>
        <w:numPr>
          <w:ilvl w:val="0"/>
          <w:numId w:val="11"/>
        </w:numPr>
        <w:tabs>
          <w:tab w:val="clear" w:pos="709"/>
        </w:tabs>
        <w:spacing w:lineRule="auto" w:line="360"/>
        <w:ind w:start="426"/>
        <w:jc w:val="both"/>
        <w:rPr>
          <w:rFonts w:ascii="Calibri" w:hAnsi="Calibri" w:cs="Calibri"/>
          <w:color w:val="000000"/>
        </w:rPr>
      </w:pPr>
      <w:r>
        <w:rPr>
          <w:rFonts w:cs="Calibri" w:ascii="Calibri" w:hAnsi="Calibri"/>
          <w:color w:val="000000"/>
        </w:rPr>
        <w:t>Punkt informacyjny zapewniający dostęp do kompleksowej informacji o usługach społecznych realizowanych na terenie całego powiatu.</w:t>
      </w:r>
      <w:r>
        <w:br w:type="page"/>
      </w:r>
    </w:p>
    <w:p>
      <w:pPr>
        <w:pStyle w:val="Normal"/>
        <w:spacing w:lineRule="auto" w:line="360"/>
        <w:jc w:val="both"/>
        <w:rPr/>
      </w:pPr>
      <w:r>
        <w:rPr>
          <w:rStyle w:val="Domylnaczcionkaakapitu"/>
          <w:rFonts w:cs="Calibri" w:ascii="Calibri" w:hAnsi="Calibri"/>
          <w:color w:val="000000"/>
        </w:rPr>
        <w:t xml:space="preserve">W ramach projektu pn. </w:t>
      </w:r>
      <w:r>
        <w:rPr>
          <w:rStyle w:val="Domylnaczcionkaakapitu"/>
          <w:rFonts w:cs="Calibri" w:ascii="Calibri" w:hAnsi="Calibri"/>
          <w:b/>
          <w:bCs/>
          <w:color w:val="000000"/>
        </w:rPr>
        <w:t>„Miasto dla rodziny”</w:t>
      </w:r>
      <w:r>
        <w:rPr>
          <w:rStyle w:val="Domylnaczcionkaakapitu"/>
          <w:rFonts w:cs="Calibri" w:ascii="Calibri" w:hAnsi="Calibri"/>
          <w:color w:val="000000"/>
        </w:rPr>
        <w:t xml:space="preserve"> realizowane jest następujące wsparcie:</w:t>
      </w:r>
    </w:p>
    <w:p>
      <w:pPr>
        <w:pStyle w:val="Normal"/>
        <w:numPr>
          <w:ilvl w:val="0"/>
          <w:numId w:val="12"/>
        </w:numPr>
        <w:tabs>
          <w:tab w:val="clear" w:pos="709"/>
        </w:tabs>
        <w:spacing w:lineRule="auto" w:line="360"/>
        <w:ind w:start="426"/>
        <w:jc w:val="both"/>
        <w:rPr>
          <w:rFonts w:ascii="Calibri" w:hAnsi="Calibri" w:cs="Calibri"/>
          <w:color w:val="000000"/>
        </w:rPr>
      </w:pPr>
      <w:r>
        <w:rPr>
          <w:rFonts w:cs="Calibri" w:ascii="Calibri" w:hAnsi="Calibri"/>
          <w:color w:val="000000"/>
        </w:rPr>
        <w:t>Rozwój usług wspierania rodziny – działań o charakterze profilaktycznym.</w:t>
        <w:br/>
        <w:t>Współpraca z asystentem rodziny, którego zadaniem jest pomoc rodzinie przy wdrażaniu prawidłowych postaw życiowych wszystkich jej członków, wskazanie sposobów wyjścia z trudnej sytuacji życiowej, ustalenie mocnych strony rodziny oraz rodzaju i kolejność podejmowanych działań. Wsparcie skierowane do 50 osób.</w:t>
      </w:r>
    </w:p>
    <w:p>
      <w:pPr>
        <w:pStyle w:val="Normal"/>
        <w:numPr>
          <w:ilvl w:val="0"/>
          <w:numId w:val="12"/>
        </w:numPr>
        <w:tabs>
          <w:tab w:val="clear" w:pos="709"/>
        </w:tabs>
        <w:spacing w:lineRule="auto" w:line="360"/>
        <w:ind w:start="426"/>
        <w:jc w:val="both"/>
        <w:rPr>
          <w:rFonts w:ascii="Calibri" w:hAnsi="Calibri" w:cs="Calibri"/>
          <w:color w:val="000000"/>
        </w:rPr>
      </w:pPr>
      <w:r>
        <w:rPr>
          <w:rFonts w:cs="Calibri" w:ascii="Calibri" w:hAnsi="Calibri"/>
          <w:color w:val="000000"/>
        </w:rPr>
        <w:t>Rozwój usług w zakresie przeciwdziałania przemocy, w tym przemocy w rodzinie.</w:t>
        <w:br/>
        <w:t xml:space="preserve">Poradnictwo psychologiczne skierowane do ofiar przemocy, w tym przemocy w rodzinie – również w miejscu zamieszkania oraz działania edukacyjne i profilaktyczne skierowane </w:t>
        <w:br/>
        <w:t xml:space="preserve">do ww. osób tj. warsztaty edukacyjne ze specjalistą, działania profilaktyczne połączone </w:t>
        <w:br/>
        <w:t>z animacją społeczną skierowaną do dzieci doświadczających przemocy. Przewidziano również kampanię edukacyjną skierowaną do osób zagrożonych przemocą i jej doświadczających. Wsparcie skierowane do 50 osób.</w:t>
      </w:r>
    </w:p>
    <w:p>
      <w:pPr>
        <w:pStyle w:val="Normal"/>
        <w:numPr>
          <w:ilvl w:val="0"/>
          <w:numId w:val="12"/>
        </w:numPr>
        <w:tabs>
          <w:tab w:val="clear" w:pos="709"/>
        </w:tabs>
        <w:spacing w:lineRule="auto" w:line="360"/>
        <w:ind w:start="426"/>
        <w:jc w:val="both"/>
        <w:rPr>
          <w:rFonts w:ascii="Calibri" w:hAnsi="Calibri" w:cs="Calibri"/>
          <w:color w:val="000000"/>
        </w:rPr>
      </w:pPr>
      <w:r>
        <w:rPr>
          <w:rFonts w:cs="Calibri" w:ascii="Calibri" w:hAnsi="Calibri"/>
          <w:color w:val="000000"/>
        </w:rPr>
        <w:t>Opieka dla dzieci i młodzieży w placówce wsparcia dziennego.</w:t>
        <w:br/>
        <w:t>Poszerzenie wsparcia w już działającej przy ul. Św. Antoniego 28 placówce dla dzieci i młodzieży prowadzonej w formie opiekuńczej. Uczestnicy mogą skorzystać ze wsparcia w formie: zajęć informatycznych, „Laboratorium przyszłości” (multimedia, druk 3D, tworzenie nadruków itp.), językowych (język angielski i niemiecki), kulturalnych – medialnych (wystąpienia publiczne, fotografia, film), z zakresu umiejętności społecznych (komunikacji, rozwiązywania konfliktów, asertywności), zajęć sportowych, wsparcia korepetytorów, doradztwa zawodowego, jak również wsparcia psychologa. Dla uczestników organizowane są wycieczki jednodniowe, warsztaty wyjazdowe, wyjścia kulturalne oraz działania integracyjne. Wsparcie skierowane do 100 osób, którym zapewnione są materiały na zajęcia i poczęstunek.</w:t>
      </w:r>
    </w:p>
    <w:p>
      <w:pPr>
        <w:pStyle w:val="Normal"/>
        <w:spacing w:lineRule="auto" w:line="360"/>
        <w:jc w:val="both"/>
        <w:rPr>
          <w:rFonts w:ascii="Calibri" w:hAnsi="Calibri" w:cs="Calibri"/>
          <w:color w:val="000000"/>
        </w:rPr>
      </w:pPr>
      <w:r>
        <w:rPr>
          <w:rFonts w:cs="Calibri" w:ascii="Calibri" w:hAnsi="Calibri"/>
          <w:color w:val="000000"/>
        </w:rPr>
        <w:t>Projekty są współfinansowane ze środków Europejskiego Funduszu Społecznego Plus w ramach programu regionalnego Fundusze Europejskie dla Łódzkiego 2021 – 2027.</w:t>
      </w:r>
    </w:p>
    <w:p>
      <w:pPr>
        <w:pStyle w:val="Normal"/>
        <w:spacing w:lineRule="auto" w:line="360"/>
        <w:jc w:val="both"/>
        <w:rPr>
          <w:rFonts w:ascii="Calibri" w:hAnsi="Calibri"/>
          <w:color w:val="000000"/>
        </w:rPr>
      </w:pPr>
      <w:r>
        <w:rPr>
          <w:rFonts w:ascii="Calibri" w:hAnsi="Calibri"/>
          <w:color w:val="000000"/>
        </w:rPr>
      </w:r>
    </w:p>
    <w:tbl>
      <w:tblPr>
        <w:tblW w:w="9645" w:type="dxa"/>
        <w:jc w:val="start"/>
        <w:tblInd w:w="-14" w:type="dxa"/>
        <w:tblLayout w:type="fixed"/>
        <w:tblCellMar>
          <w:top w:w="55" w:type="dxa"/>
          <w:start w:w="55" w:type="dxa"/>
          <w:bottom w:w="55" w:type="dxa"/>
          <w:end w:w="55" w:type="dxa"/>
        </w:tblCellMar>
      </w:tblPr>
      <w:tblGrid>
        <w:gridCol w:w="855"/>
        <w:gridCol w:w="2610"/>
        <w:gridCol w:w="2940"/>
        <w:gridCol w:w="3240"/>
      </w:tblGrid>
      <w:tr>
        <w:trPr/>
        <w:tc>
          <w:tcPr>
            <w:tcW w:w="855" w:type="dxa"/>
            <w:tcBorders>
              <w:top w:val="single" w:sz="6" w:space="0" w:color="000000"/>
              <w:start w:val="single" w:sz="6" w:space="0" w:color="000000"/>
              <w:bottom w:val="single" w:sz="6" w:space="0" w:color="000000"/>
            </w:tcBorders>
            <w:shd w:fill="FF8000" w:val="clear"/>
          </w:tcPr>
          <w:p>
            <w:pPr>
              <w:pStyle w:val="Zawartotabeli"/>
              <w:widowControl w:val="false"/>
              <w:rPr>
                <w:rFonts w:ascii="Calibri" w:hAnsi="Calibri" w:cs="Calibri"/>
                <w:b/>
                <w:bCs/>
                <w:color w:val="000000"/>
              </w:rPr>
            </w:pPr>
            <w:r>
              <w:rPr>
                <w:rFonts w:cs="Calibri" w:ascii="Calibri" w:hAnsi="Calibri"/>
                <w:b/>
                <w:bCs/>
                <w:color w:val="000000"/>
              </w:rPr>
              <w:t>Rok</w:t>
            </w:r>
          </w:p>
        </w:tc>
        <w:tc>
          <w:tcPr>
            <w:tcW w:w="2610" w:type="dxa"/>
            <w:tcBorders>
              <w:top w:val="single" w:sz="6" w:space="0" w:color="000000"/>
              <w:start w:val="single" w:sz="6" w:space="0" w:color="000000"/>
              <w:bottom w:val="single" w:sz="6" w:space="0" w:color="000000"/>
            </w:tcBorders>
            <w:shd w:fill="FF8000" w:val="clear"/>
          </w:tcPr>
          <w:p>
            <w:pPr>
              <w:pStyle w:val="Zawartotabeli"/>
              <w:widowControl w:val="false"/>
              <w:jc w:val="center"/>
              <w:rPr>
                <w:rFonts w:ascii="Calibri" w:hAnsi="Calibri" w:cs="Calibri"/>
                <w:b/>
                <w:bCs/>
                <w:i/>
                <w:iCs/>
                <w:color w:val="000000"/>
              </w:rPr>
            </w:pPr>
            <w:r>
              <w:rPr>
                <w:rFonts w:cs="Calibri" w:ascii="Calibri" w:hAnsi="Calibri"/>
                <w:b/>
                <w:bCs/>
                <w:i/>
                <w:iCs/>
                <w:color w:val="000000"/>
              </w:rPr>
              <w:t>Kwota dofinansowania</w:t>
            </w:r>
          </w:p>
        </w:tc>
        <w:tc>
          <w:tcPr>
            <w:tcW w:w="2940" w:type="dxa"/>
            <w:tcBorders>
              <w:top w:val="single" w:sz="6" w:space="0" w:color="000000"/>
              <w:start w:val="single" w:sz="6" w:space="0" w:color="000000"/>
              <w:bottom w:val="single" w:sz="6" w:space="0" w:color="000000"/>
            </w:tcBorders>
            <w:shd w:fill="FF8000" w:val="clear"/>
          </w:tcPr>
          <w:p>
            <w:pPr>
              <w:pStyle w:val="Zawartotabeli"/>
              <w:widowControl w:val="false"/>
              <w:jc w:val="center"/>
              <w:rPr>
                <w:rFonts w:ascii="Calibri" w:hAnsi="Calibri" w:cs="Calibri"/>
                <w:b/>
                <w:bCs/>
                <w:i/>
                <w:iCs/>
                <w:color w:val="000000"/>
              </w:rPr>
            </w:pPr>
            <w:r>
              <w:rPr>
                <w:rFonts w:cs="Calibri" w:ascii="Calibri" w:hAnsi="Calibri"/>
                <w:b/>
                <w:bCs/>
                <w:i/>
                <w:iCs/>
                <w:color w:val="000000"/>
              </w:rPr>
              <w:t>Wkład własny</w:t>
            </w:r>
          </w:p>
        </w:tc>
        <w:tc>
          <w:tcPr>
            <w:tcW w:w="3240" w:type="dxa"/>
            <w:tcBorders>
              <w:top w:val="single" w:sz="6" w:space="0" w:color="000000"/>
              <w:start w:val="single" w:sz="6" w:space="0" w:color="000000"/>
              <w:bottom w:val="single" w:sz="6" w:space="0" w:color="000000"/>
              <w:end w:val="single" w:sz="6" w:space="0" w:color="000000"/>
            </w:tcBorders>
            <w:shd w:fill="FF8000" w:val="clear"/>
          </w:tcPr>
          <w:p>
            <w:pPr>
              <w:pStyle w:val="Zawartotabeli"/>
              <w:widowControl w:val="false"/>
              <w:jc w:val="end"/>
              <w:rPr>
                <w:rFonts w:ascii="Calibri" w:hAnsi="Calibri" w:cs="Calibri"/>
                <w:b/>
                <w:bCs/>
                <w:color w:val="000000"/>
              </w:rPr>
            </w:pPr>
            <w:r>
              <w:rPr>
                <w:rFonts w:cs="Calibri" w:ascii="Calibri" w:hAnsi="Calibri"/>
                <w:b/>
                <w:bCs/>
                <w:color w:val="000000"/>
              </w:rPr>
              <w:t>Razem</w:t>
            </w:r>
          </w:p>
        </w:tc>
      </w:tr>
      <w:tr>
        <w:trPr/>
        <w:tc>
          <w:tcPr>
            <w:tcW w:w="855" w:type="dxa"/>
            <w:tcBorders>
              <w:start w:val="single" w:sz="6" w:space="0" w:color="000000"/>
              <w:bottom w:val="single" w:sz="6" w:space="0" w:color="000000"/>
            </w:tcBorders>
            <w:shd w:fill="E6E905" w:val="clear"/>
          </w:tcPr>
          <w:p>
            <w:pPr>
              <w:pStyle w:val="Zawartotabeli"/>
              <w:widowControl w:val="false"/>
              <w:rPr>
                <w:rFonts w:ascii="Calibri" w:hAnsi="Calibri" w:cs="Calibri"/>
                <w:b/>
                <w:bCs/>
                <w:color w:val="000000"/>
              </w:rPr>
            </w:pPr>
            <w:r>
              <w:rPr>
                <w:rFonts w:cs="Calibri" w:ascii="Calibri" w:hAnsi="Calibri"/>
                <w:b/>
                <w:bCs/>
                <w:color w:val="000000"/>
              </w:rPr>
              <w:t>2025</w:t>
            </w:r>
          </w:p>
        </w:tc>
        <w:tc>
          <w:tcPr>
            <w:tcW w:w="2610" w:type="dxa"/>
            <w:tcBorders>
              <w:start w:val="single" w:sz="6" w:space="0" w:color="000000"/>
              <w:bottom w:val="single" w:sz="6" w:space="0" w:color="000000"/>
            </w:tcBorders>
            <w:shd w:fill="BBE33D" w:val="clear"/>
          </w:tcPr>
          <w:p>
            <w:pPr>
              <w:pStyle w:val="Normal"/>
              <w:widowControl w:val="false"/>
              <w:spacing w:lineRule="auto" w:line="360"/>
              <w:jc w:val="end"/>
              <w:rPr>
                <w:rFonts w:ascii="Calibri" w:hAnsi="Calibri" w:cs="Calibri"/>
                <w:color w:val="000000"/>
              </w:rPr>
            </w:pPr>
            <w:r>
              <w:rPr>
                <w:rFonts w:cs="Calibri" w:ascii="Calibri" w:hAnsi="Calibri"/>
                <w:color w:val="000000"/>
              </w:rPr>
              <w:t>9 327 743,74 zł</w:t>
            </w:r>
          </w:p>
        </w:tc>
        <w:tc>
          <w:tcPr>
            <w:tcW w:w="2940" w:type="dxa"/>
            <w:tcBorders>
              <w:start w:val="single" w:sz="6" w:space="0" w:color="000000"/>
              <w:bottom w:val="single" w:sz="6" w:space="0" w:color="000000"/>
            </w:tcBorders>
            <w:shd w:fill="BBE33D" w:val="clear"/>
          </w:tcPr>
          <w:p>
            <w:pPr>
              <w:pStyle w:val="Normal"/>
              <w:widowControl w:val="false"/>
              <w:spacing w:lineRule="auto" w:line="360"/>
              <w:jc w:val="end"/>
              <w:rPr>
                <w:rFonts w:ascii="Calibri" w:hAnsi="Calibri" w:cs="Calibri"/>
                <w:color w:val="000000"/>
              </w:rPr>
            </w:pPr>
            <w:r>
              <w:rPr>
                <w:rFonts w:cs="Calibri" w:ascii="Calibri" w:hAnsi="Calibri"/>
                <w:color w:val="000000"/>
              </w:rPr>
              <w:t>1 799 633,96 zł</w:t>
            </w:r>
          </w:p>
        </w:tc>
        <w:tc>
          <w:tcPr>
            <w:tcW w:w="3240" w:type="dxa"/>
            <w:tcBorders>
              <w:start w:val="single" w:sz="6" w:space="0" w:color="000000"/>
              <w:bottom w:val="single" w:sz="6" w:space="0" w:color="000000"/>
              <w:end w:val="single" w:sz="6" w:space="0" w:color="000000"/>
            </w:tcBorders>
            <w:shd w:fill="ACB20C" w:val="clear"/>
          </w:tcPr>
          <w:p>
            <w:pPr>
              <w:pStyle w:val="Normal"/>
              <w:widowControl w:val="false"/>
              <w:spacing w:lineRule="auto" w:line="360"/>
              <w:jc w:val="end"/>
              <w:rPr>
                <w:rFonts w:ascii="Calibri" w:hAnsi="Calibri" w:cs="Calibri"/>
                <w:b/>
                <w:bCs/>
                <w:color w:val="000000"/>
              </w:rPr>
            </w:pPr>
            <w:r>
              <w:rPr>
                <w:rFonts w:cs="Calibri" w:ascii="Calibri" w:hAnsi="Calibri"/>
                <w:b/>
                <w:bCs/>
                <w:color w:val="000000"/>
              </w:rPr>
              <w:t>11 127 377,70 zł</w:t>
            </w:r>
          </w:p>
        </w:tc>
      </w:tr>
    </w:tbl>
    <w:p>
      <w:pPr>
        <w:pStyle w:val="Normal"/>
        <w:spacing w:lineRule="auto" w:line="276"/>
        <w:rPr>
          <w:rFonts w:ascii="Calibri" w:hAnsi="Calibri" w:eastAsia="Times New Roman" w:cs="Times New Roman"/>
          <w:b/>
          <w:bCs/>
          <w:sz w:val="32"/>
          <w:szCs w:val="32"/>
        </w:rPr>
      </w:pPr>
      <w:r>
        <w:rPr>
          <w:rFonts w:eastAsia="Times New Roman" w:cs="Times New Roman" w:ascii="Calibri" w:hAnsi="Calibri"/>
          <w:b/>
          <w:bCs/>
          <w:sz w:val="32"/>
          <w:szCs w:val="32"/>
        </w:rPr>
      </w:r>
      <w:r>
        <w:br w:type="page"/>
      </w:r>
    </w:p>
    <w:p>
      <w:pPr>
        <w:pStyle w:val="Normal"/>
        <w:spacing w:lineRule="auto" w:line="276"/>
        <w:jc w:val="center"/>
        <w:rPr>
          <w:rFonts w:ascii="Calibri" w:hAnsi="Calibri" w:eastAsia="Times New Roman" w:cs="Times New Roman"/>
          <w:b/>
          <w:bCs/>
          <w:sz w:val="32"/>
          <w:szCs w:val="32"/>
        </w:rPr>
      </w:pPr>
      <w:r>
        <w:rPr>
          <w:rFonts w:eastAsia="Times New Roman" w:cs="Times New Roman" w:ascii="Calibri" w:hAnsi="Calibri"/>
          <w:b/>
          <w:bCs/>
          <w:sz w:val="32"/>
          <w:szCs w:val="32"/>
        </w:rPr>
        <w:t>VII. Świadczenia rodzinne i  fundusz alimentacyjny</w:t>
      </w:r>
    </w:p>
    <w:p>
      <w:pPr>
        <w:pStyle w:val="Normal"/>
        <w:spacing w:lineRule="auto" w:line="276"/>
        <w:rPr>
          <w:rFonts w:ascii="Calibri" w:hAnsi="Calibri" w:eastAsia="Times New Roman" w:cs="Times New Roman"/>
          <w:b/>
          <w:bCs/>
          <w:sz w:val="32"/>
          <w:szCs w:val="32"/>
        </w:rPr>
      </w:pPr>
      <w:r>
        <w:rPr>
          <w:rFonts w:eastAsia="Times New Roman" w:cs="Times New Roman" w:ascii="Calibri" w:hAnsi="Calibri"/>
          <w:b/>
          <w:bCs/>
          <w:sz w:val="32"/>
          <w:szCs w:val="32"/>
        </w:rPr>
      </w:r>
    </w:p>
    <w:p>
      <w:pPr>
        <w:pStyle w:val="Normal"/>
        <w:spacing w:lineRule="auto" w:line="276"/>
        <w:jc w:val="both"/>
        <w:rPr/>
      </w:pPr>
      <w:r>
        <w:rPr>
          <w:rStyle w:val="Domylnaczcionkaakapitu"/>
          <w:rFonts w:eastAsia="Times New Roman" w:cs="Times New Roman" w:ascii="Calibri" w:hAnsi="Calibri"/>
          <w:b/>
        </w:rPr>
        <w:t xml:space="preserve">Dział Świadczeń Rodzinnych i Funduszu Alimentacyjnego </w:t>
      </w:r>
      <w:r>
        <w:rPr>
          <w:rStyle w:val="Domylnaczcionkaakapitu"/>
          <w:rFonts w:eastAsia="Times New Roman" w:cs="Times New Roman" w:ascii="Calibri" w:hAnsi="Calibri"/>
        </w:rPr>
        <w:t>realizuje zadania z zakresu świadczeń rodzinnych i świadczeń z funduszu alimentacyjnego w oparciu o ustawy:</w:t>
      </w:r>
    </w:p>
    <w:p>
      <w:pPr>
        <w:pStyle w:val="Normal"/>
        <w:spacing w:lineRule="auto" w:line="276"/>
        <w:jc w:val="both"/>
        <w:rPr>
          <w:rFonts w:ascii="Calibri" w:hAnsi="Calibri" w:eastAsia="Times New Roman" w:cs="Times New Roman"/>
        </w:rPr>
      </w:pPr>
      <w:r>
        <w:rPr>
          <w:rFonts w:eastAsia="Times New Roman" w:cs="Times New Roman" w:ascii="Calibri" w:hAnsi="Calibri"/>
        </w:rPr>
        <w:t>- ustawa z dnia 28 listopada 2003 r. o świadczeniach rodzinnych (Dz. U. z 2025 r., poz. 1208), obowiązująca od dnia 1 maja 2004 r.;</w:t>
      </w:r>
    </w:p>
    <w:p>
      <w:pPr>
        <w:pStyle w:val="Normal"/>
        <w:spacing w:lineRule="auto" w:line="276"/>
        <w:jc w:val="both"/>
        <w:rPr>
          <w:rFonts w:ascii="Calibri" w:hAnsi="Calibri" w:eastAsia="Times New Roman" w:cs="Times New Roman"/>
        </w:rPr>
      </w:pPr>
      <w:r>
        <w:rPr>
          <w:rFonts w:eastAsia="Times New Roman" w:cs="Times New Roman" w:ascii="Calibri" w:hAnsi="Calibri"/>
        </w:rPr>
        <w:t>- ustawa z dnia 7 września 2007 r. o pomocy osobom uprawionym do alimentów (Dz. U. z 2026 r., poz. 79), obowiązująca od dnia 1 października 2008 r.;</w:t>
      </w:r>
    </w:p>
    <w:p>
      <w:pPr>
        <w:pStyle w:val="Normal"/>
        <w:spacing w:lineRule="auto" w:line="276"/>
        <w:jc w:val="both"/>
        <w:rPr/>
      </w:pPr>
      <w:r>
        <w:rPr>
          <w:rStyle w:val="Domylnaczcionkaakapitu"/>
          <w:rFonts w:eastAsia="Times New Roman" w:cs="Times New Roman" w:ascii="Calibri" w:hAnsi="Calibri"/>
        </w:rPr>
        <w:t xml:space="preserve">- ustawa z dnia 4 kwietnia 2014 r. o ustaleniu i wypłacie zasiłków dla opiekunów </w:t>
      </w:r>
      <w:r>
        <w:rPr>
          <w:rStyle w:val="Domylnaczcionkaakapitu"/>
          <w:rFonts w:eastAsia="Times New Roman" w:cs="Times New Roman" w:ascii="Calibri" w:hAnsi="Calibri"/>
          <w:shd w:fill="FFFFFF" w:val="clear"/>
        </w:rPr>
        <w:t>(Dz. U. z 202</w:t>
      </w:r>
      <w:r>
        <w:rPr>
          <w:rStyle w:val="Domylnaczcionkaakapitu"/>
          <w:rFonts w:eastAsia="Times New Roman" w:cs="Times New Roman" w:ascii="Calibri" w:hAnsi="Calibri"/>
          <w:shd w:fill="FFFFFF" w:val="clear"/>
        </w:rPr>
        <w:t>4</w:t>
      </w:r>
      <w:r>
        <w:rPr>
          <w:rStyle w:val="Domylnaczcionkaakapitu"/>
          <w:rFonts w:eastAsia="Times New Roman" w:cs="Times New Roman" w:ascii="Calibri" w:hAnsi="Calibri"/>
          <w:shd w:fill="FFFFFF" w:val="clear"/>
        </w:rPr>
        <w:t xml:space="preserve"> r., poz. </w:t>
      </w:r>
      <w:r>
        <w:rPr>
          <w:rStyle w:val="Domylnaczcionkaakapitu"/>
          <w:rFonts w:eastAsia="Times New Roman" w:cs="Times New Roman" w:ascii="Calibri" w:hAnsi="Calibri"/>
          <w:shd w:fill="FFFFFF" w:val="clear"/>
        </w:rPr>
        <w:t>246</w:t>
      </w:r>
      <w:r>
        <w:rPr>
          <w:rStyle w:val="Domylnaczcionkaakapitu"/>
          <w:rFonts w:eastAsia="Times New Roman" w:cs="Times New Roman" w:ascii="Calibri" w:hAnsi="Calibri"/>
          <w:shd w:fill="FFFFFF" w:val="clear"/>
        </w:rPr>
        <w:t>),</w:t>
      </w:r>
      <w:r>
        <w:rPr>
          <w:rStyle w:val="Domylnaczcionkaakapitu"/>
          <w:rFonts w:eastAsia="Times New Roman" w:cs="Times New Roman" w:ascii="Calibri" w:hAnsi="Calibri"/>
        </w:rPr>
        <w:t xml:space="preserve"> obowiązującą od 15 maja 2014 r., jako świadczenie będące realizacją wyroku Trybunału Konstytucyjnego z dnia 5 grudnia 2013 r., sygn. akt TK akt K 27/13.</w:t>
      </w:r>
    </w:p>
    <w:p>
      <w:pPr>
        <w:pStyle w:val="Normal"/>
        <w:spacing w:lineRule="auto" w:line="276"/>
        <w:jc w:val="both"/>
        <w:rPr>
          <w:rFonts w:ascii="Calibri" w:hAnsi="Calibri" w:eastAsia="Times New Roman" w:cs="Times New Roman"/>
        </w:rPr>
      </w:pPr>
      <w:r>
        <w:rPr>
          <w:rFonts w:eastAsia="Times New Roman" w:cs="Times New Roman" w:ascii="Calibri" w:hAnsi="Calibri"/>
        </w:rPr>
      </w:r>
    </w:p>
    <w:p>
      <w:pPr>
        <w:pStyle w:val="Normal"/>
        <w:spacing w:lineRule="auto" w:line="276"/>
        <w:jc w:val="both"/>
        <w:rPr/>
      </w:pPr>
      <w:r>
        <w:rPr>
          <w:rStyle w:val="Domylnaczcionkaakapitu"/>
          <w:rFonts w:eastAsia="Times New Roman" w:cs="Times New Roman" w:ascii="Calibri" w:hAnsi="Calibri"/>
        </w:rPr>
        <w:tab/>
        <w:t xml:space="preserve">Przepisy wyżej wymienionych ustaw określają warunki nabywania prawa do  </w:t>
      </w:r>
      <w:r>
        <w:rPr>
          <w:rStyle w:val="Domylnaczcionkaakapitu"/>
          <w:rFonts w:eastAsia="Times New Roman" w:cs="Times New Roman" w:ascii="Calibri" w:hAnsi="Calibri"/>
          <w:b/>
        </w:rPr>
        <w:t>świadczeń rodzinnych</w:t>
      </w:r>
      <w:r>
        <w:rPr>
          <w:rStyle w:val="Domylnaczcionkaakapitu"/>
          <w:rFonts w:eastAsia="Times New Roman" w:cs="Times New Roman" w:ascii="Calibri" w:hAnsi="Calibri"/>
        </w:rPr>
        <w:t xml:space="preserve">, </w:t>
      </w:r>
      <w:r>
        <w:rPr>
          <w:rStyle w:val="Domylnaczcionkaakapitu"/>
          <w:rFonts w:eastAsia="Times New Roman" w:cs="Times New Roman" w:ascii="Calibri" w:hAnsi="Calibri"/>
          <w:b/>
        </w:rPr>
        <w:t xml:space="preserve">świadczeń z funduszu alimentacyjnego, zasiłków dla opiekunów, </w:t>
      </w:r>
      <w:r>
        <w:rPr>
          <w:rStyle w:val="Domylnaczcionkaakapitu"/>
          <w:rFonts w:eastAsia="Times New Roman" w:cs="Times New Roman" w:ascii="Calibri" w:hAnsi="Calibri"/>
        </w:rPr>
        <w:t>a także zasady ustalania, przyznawania i wypłacania tych świadczeń.</w:t>
      </w:r>
    </w:p>
    <w:p>
      <w:pPr>
        <w:pStyle w:val="Normal"/>
        <w:spacing w:lineRule="auto" w:line="276"/>
        <w:jc w:val="both"/>
        <w:rPr>
          <w:rFonts w:ascii="Calibri" w:hAnsi="Calibri" w:eastAsia="Times New Roman" w:cs="Times New Roman"/>
        </w:rPr>
      </w:pPr>
      <w:r>
        <w:rPr>
          <w:rFonts w:eastAsia="Times New Roman" w:cs="Times New Roman" w:ascii="Calibri" w:hAnsi="Calibri"/>
        </w:rPr>
        <w:tab/>
        <w:t>Aktami wykonawczymi do tych ustaw są rozporządzenia Ministra Rodziny i Polityki Społecznej, natomiast w sprawach nieuregulowanych mają zastosowanie przepisy Kodeksu postępowania administracyjnego - ustawa z dnia 14 czerwca 1960 roku (Dz. U. z 2025 r., poz. 1691).</w:t>
      </w:r>
    </w:p>
    <w:p>
      <w:pPr>
        <w:pStyle w:val="Normal"/>
        <w:spacing w:lineRule="auto" w:line="276"/>
        <w:jc w:val="both"/>
        <w:rPr>
          <w:rFonts w:ascii="Calibri" w:hAnsi="Calibri" w:eastAsia="Times New Roman" w:cs="Times New Roman"/>
        </w:rPr>
      </w:pPr>
      <w:r>
        <w:rPr>
          <w:rFonts w:eastAsia="Times New Roman" w:cs="Times New Roman" w:ascii="Calibri" w:hAnsi="Calibri"/>
        </w:rPr>
      </w:r>
    </w:p>
    <w:p>
      <w:pPr>
        <w:pStyle w:val="Normal"/>
        <w:numPr>
          <w:ilvl w:val="0"/>
          <w:numId w:val="13"/>
        </w:numPr>
        <w:tabs>
          <w:tab w:val="clear" w:pos="709"/>
        </w:tabs>
        <w:spacing w:lineRule="auto" w:line="276"/>
        <w:ind w:firstLine="360" w:start="-360"/>
        <w:jc w:val="both"/>
        <w:rPr>
          <w:rFonts w:ascii="Calibri" w:hAnsi="Calibri" w:eastAsia="Times New Roman" w:cs="Times New Roman"/>
          <w:b/>
          <w:bCs/>
          <w:u w:val="single"/>
        </w:rPr>
      </w:pPr>
      <w:r>
        <w:rPr>
          <w:rFonts w:eastAsia="Times New Roman" w:cs="Times New Roman" w:ascii="Calibri" w:hAnsi="Calibri"/>
          <w:b/>
          <w:bCs/>
          <w:u w:val="single"/>
        </w:rPr>
        <w:t>Świadczenia rodzinne:</w:t>
      </w:r>
    </w:p>
    <w:p>
      <w:pPr>
        <w:pStyle w:val="Normal"/>
        <w:tabs>
          <w:tab w:val="clear" w:pos="709"/>
        </w:tabs>
        <w:spacing w:lineRule="auto" w:line="276"/>
        <w:ind w:firstLine="360" w:start="-360"/>
        <w:jc w:val="both"/>
        <w:rPr>
          <w:rFonts w:ascii="Calibri" w:hAnsi="Calibri" w:eastAsia="Times New Roman" w:cs="Times New Roman"/>
          <w:u w:val="single"/>
        </w:rPr>
      </w:pPr>
      <w:r>
        <w:rPr>
          <w:rFonts w:eastAsia="Times New Roman" w:cs="Times New Roman" w:ascii="Calibri" w:hAnsi="Calibri"/>
          <w:u w:val="single"/>
        </w:rPr>
      </w:r>
    </w:p>
    <w:p>
      <w:pPr>
        <w:pStyle w:val="Normal"/>
        <w:spacing w:lineRule="auto" w:line="276"/>
        <w:jc w:val="both"/>
        <w:rPr>
          <w:rFonts w:ascii="Calibri" w:hAnsi="Calibri" w:eastAsia="Times New Roman" w:cs="Times New Roman"/>
          <w:b/>
        </w:rPr>
      </w:pPr>
      <w:r>
        <w:rPr>
          <w:rFonts w:eastAsia="Times New Roman" w:cs="Times New Roman" w:ascii="Calibri" w:hAnsi="Calibri"/>
          <w:b/>
        </w:rPr>
        <w:t>1. Zasiłek rodzinny, który od 1 listopada 2016 r. wynosi odpowiednio:</w:t>
      </w:r>
    </w:p>
    <w:p>
      <w:pPr>
        <w:pStyle w:val="Normal"/>
        <w:spacing w:lineRule="auto" w:line="276"/>
        <w:jc w:val="both"/>
        <w:rPr/>
      </w:pPr>
      <w:r>
        <w:rPr>
          <w:rStyle w:val="Domylnaczcionkaakapitu"/>
          <w:rFonts w:eastAsia="Times New Roman" w:cs="Times New Roman" w:ascii="Calibri" w:hAnsi="Calibri"/>
        </w:rPr>
        <w:t>a. na dziecko w wieku do ukończenia 5 roku życia (</w:t>
      </w:r>
      <w:r>
        <w:rPr>
          <w:rStyle w:val="Domylnaczcionkaakapitu"/>
          <w:rFonts w:eastAsia="Times New Roman" w:cs="Times New Roman" w:ascii="Calibri" w:hAnsi="Calibri"/>
          <w:b/>
          <w:bCs/>
        </w:rPr>
        <w:t xml:space="preserve">95 zł </w:t>
      </w:r>
      <w:r>
        <w:rPr>
          <w:rStyle w:val="Domylnaczcionkaakapitu"/>
          <w:rFonts w:eastAsia="Times New Roman" w:cs="Times New Roman" w:ascii="Calibri" w:hAnsi="Calibri"/>
        </w:rPr>
        <w:t>miesięcznie);</w:t>
      </w:r>
    </w:p>
    <w:p>
      <w:pPr>
        <w:pStyle w:val="Normal"/>
        <w:spacing w:lineRule="auto" w:line="276"/>
        <w:jc w:val="both"/>
        <w:rPr/>
      </w:pPr>
      <w:r>
        <w:rPr>
          <w:rStyle w:val="Domylnaczcionkaakapitu"/>
          <w:rFonts w:eastAsia="Times New Roman" w:cs="Times New Roman" w:ascii="Calibri" w:hAnsi="Calibri"/>
        </w:rPr>
        <w:t>b. na dziecko w wieku powyżej 5 roku życia do ukończenia 18 roku życia (</w:t>
      </w:r>
      <w:r>
        <w:rPr>
          <w:rStyle w:val="Domylnaczcionkaakapitu"/>
          <w:rFonts w:eastAsia="Times New Roman" w:cs="Times New Roman" w:ascii="Calibri" w:hAnsi="Calibri"/>
          <w:b/>
        </w:rPr>
        <w:t xml:space="preserve">124 zł </w:t>
      </w:r>
      <w:r>
        <w:rPr>
          <w:rStyle w:val="Domylnaczcionkaakapitu"/>
          <w:rFonts w:eastAsia="Times New Roman" w:cs="Times New Roman" w:ascii="Calibri" w:hAnsi="Calibri"/>
        </w:rPr>
        <w:t>miesięcznie);</w:t>
      </w:r>
    </w:p>
    <w:p>
      <w:pPr>
        <w:pStyle w:val="Normal"/>
        <w:spacing w:lineRule="auto" w:line="276"/>
        <w:jc w:val="both"/>
        <w:rPr/>
      </w:pPr>
      <w:r>
        <w:rPr>
          <w:rStyle w:val="Domylnaczcionkaakapitu"/>
          <w:rFonts w:eastAsia="Times New Roman" w:cs="Times New Roman" w:ascii="Calibri" w:hAnsi="Calibri"/>
        </w:rPr>
        <w:t>c. na dziecko w wieku powyżej 18 roku życia do ukończenia 24 roku życia (</w:t>
      </w:r>
      <w:r>
        <w:rPr>
          <w:rStyle w:val="Domylnaczcionkaakapitu"/>
          <w:rFonts w:eastAsia="Times New Roman" w:cs="Times New Roman" w:ascii="Calibri" w:hAnsi="Calibri"/>
          <w:b/>
        </w:rPr>
        <w:t xml:space="preserve">135 zł </w:t>
      </w:r>
      <w:r>
        <w:rPr>
          <w:rStyle w:val="Domylnaczcionkaakapitu"/>
          <w:rFonts w:eastAsia="Times New Roman" w:cs="Times New Roman" w:ascii="Calibri" w:hAnsi="Calibri"/>
        </w:rPr>
        <w:t>miesięcznie);</w:t>
      </w:r>
    </w:p>
    <w:p>
      <w:pPr>
        <w:pStyle w:val="Normal"/>
        <w:spacing w:lineRule="auto" w:line="276"/>
        <w:jc w:val="both"/>
        <w:rPr>
          <w:rFonts w:ascii="Calibri" w:hAnsi="Calibri" w:eastAsia="Times New Roman" w:cs="Times New Roman"/>
          <w:b/>
        </w:rPr>
      </w:pPr>
      <w:r>
        <w:rPr>
          <w:rFonts w:eastAsia="Times New Roman" w:cs="Times New Roman" w:ascii="Calibri" w:hAnsi="Calibri"/>
          <w:b/>
        </w:rPr>
        <w:t>oraz dodatki do zasiłku rodzinnego:</w:t>
      </w:r>
    </w:p>
    <w:p>
      <w:pPr>
        <w:pStyle w:val="Normal"/>
        <w:spacing w:lineRule="auto" w:line="276"/>
        <w:jc w:val="both"/>
        <w:rPr/>
      </w:pPr>
      <w:r>
        <w:rPr>
          <w:rStyle w:val="Domylnaczcionkaakapitu"/>
          <w:rFonts w:eastAsia="Times New Roman" w:cs="Times New Roman" w:ascii="Calibri" w:hAnsi="Calibri"/>
        </w:rPr>
        <w:t>a. dodatek z tytułu urodzenia dziecka (</w:t>
      </w:r>
      <w:r>
        <w:rPr>
          <w:rStyle w:val="Domylnaczcionkaakapitu"/>
          <w:rFonts w:eastAsia="Times New Roman" w:cs="Times New Roman" w:ascii="Calibri" w:hAnsi="Calibri"/>
          <w:b/>
        </w:rPr>
        <w:t xml:space="preserve">1 000 zł </w:t>
      </w:r>
      <w:r>
        <w:rPr>
          <w:rStyle w:val="Domylnaczcionkaakapitu"/>
          <w:rFonts w:eastAsia="Times New Roman" w:cs="Times New Roman" w:ascii="Calibri" w:hAnsi="Calibri"/>
        </w:rPr>
        <w:t>na dziecko, świadczenie jednorazowe);</w:t>
      </w:r>
    </w:p>
    <w:p>
      <w:pPr>
        <w:pStyle w:val="Normal"/>
        <w:spacing w:lineRule="auto" w:line="276"/>
        <w:jc w:val="both"/>
        <w:rPr/>
      </w:pPr>
      <w:r>
        <w:rPr>
          <w:rStyle w:val="Domylnaczcionkaakapitu"/>
          <w:rFonts w:eastAsia="Times New Roman" w:cs="Times New Roman" w:ascii="Calibri" w:hAnsi="Calibri"/>
        </w:rPr>
        <w:t>b. dodatek z tytułu opieki nad dzieckiem w okresie korzystania z urlopu wychowawczego (</w:t>
      </w:r>
      <w:r>
        <w:rPr>
          <w:rStyle w:val="Domylnaczcionkaakapitu"/>
          <w:rFonts w:eastAsia="Times New Roman" w:cs="Times New Roman" w:ascii="Calibri" w:hAnsi="Calibri"/>
          <w:b/>
        </w:rPr>
        <w:t xml:space="preserve">400 zł </w:t>
      </w:r>
      <w:r>
        <w:rPr>
          <w:rStyle w:val="Domylnaczcionkaakapitu"/>
          <w:rFonts w:eastAsia="Times New Roman" w:cs="Times New Roman" w:ascii="Calibri" w:hAnsi="Calibri"/>
        </w:rPr>
        <w:t>miesięcznie);</w:t>
      </w:r>
    </w:p>
    <w:p>
      <w:pPr>
        <w:pStyle w:val="Normal"/>
        <w:spacing w:lineRule="auto" w:line="276"/>
        <w:jc w:val="both"/>
        <w:rPr/>
      </w:pPr>
      <w:r>
        <w:rPr>
          <w:rStyle w:val="Domylnaczcionkaakapitu"/>
          <w:rFonts w:eastAsia="Times New Roman" w:cs="Times New Roman" w:ascii="Calibri" w:hAnsi="Calibri"/>
        </w:rPr>
        <w:t>c. dodatek z tytułu samotnego wychowywania dziecka (</w:t>
      </w:r>
      <w:r>
        <w:rPr>
          <w:rStyle w:val="Domylnaczcionkaakapitu"/>
          <w:rFonts w:eastAsia="Times New Roman" w:cs="Times New Roman" w:ascii="Calibri" w:hAnsi="Calibri"/>
          <w:b/>
          <w:bCs/>
        </w:rPr>
        <w:t>193 zł</w:t>
      </w:r>
      <w:r>
        <w:rPr>
          <w:rStyle w:val="Domylnaczcionkaakapitu"/>
          <w:rFonts w:eastAsia="Times New Roman" w:cs="Times New Roman" w:ascii="Calibri" w:hAnsi="Calibri"/>
        </w:rPr>
        <w:t xml:space="preserve"> miesięcznie na dziecko, nie więcej niż </w:t>
      </w:r>
      <w:r>
        <w:rPr>
          <w:rStyle w:val="Domylnaczcionkaakapitu"/>
          <w:rFonts w:eastAsia="Times New Roman" w:cs="Times New Roman" w:ascii="Calibri" w:hAnsi="Calibri"/>
          <w:b/>
        </w:rPr>
        <w:t xml:space="preserve">386 zł </w:t>
      </w:r>
      <w:r>
        <w:rPr>
          <w:rStyle w:val="Domylnaczcionkaakapitu"/>
          <w:rFonts w:eastAsia="Times New Roman" w:cs="Times New Roman" w:ascii="Calibri" w:hAnsi="Calibri"/>
        </w:rPr>
        <w:t xml:space="preserve">na wszystkie dzieci, w przypadku dzieci niepełnosprawnych kwotę dodatku zwiększa się o </w:t>
      </w:r>
      <w:r>
        <w:rPr>
          <w:rStyle w:val="Domylnaczcionkaakapitu"/>
          <w:rFonts w:eastAsia="Times New Roman" w:cs="Times New Roman" w:ascii="Calibri" w:hAnsi="Calibri"/>
          <w:b/>
        </w:rPr>
        <w:t>80 zł</w:t>
      </w:r>
      <w:r>
        <w:rPr>
          <w:rStyle w:val="Domylnaczcionkaakapitu"/>
          <w:rFonts w:eastAsia="Times New Roman" w:cs="Times New Roman" w:ascii="Calibri" w:hAnsi="Calibri"/>
        </w:rPr>
        <w:t xml:space="preserve">, nie więcej niż o </w:t>
      </w:r>
      <w:r>
        <w:rPr>
          <w:rStyle w:val="Domylnaczcionkaakapitu"/>
          <w:rFonts w:eastAsia="Times New Roman" w:cs="Times New Roman" w:ascii="Calibri" w:hAnsi="Calibri"/>
          <w:b/>
        </w:rPr>
        <w:t xml:space="preserve">546 zł </w:t>
      </w:r>
      <w:r>
        <w:rPr>
          <w:rStyle w:val="Domylnaczcionkaakapitu"/>
          <w:rFonts w:eastAsia="Times New Roman" w:cs="Times New Roman" w:ascii="Calibri" w:hAnsi="Calibri"/>
        </w:rPr>
        <w:t>na wszystkie dzieci);</w:t>
      </w:r>
    </w:p>
    <w:p>
      <w:pPr>
        <w:pStyle w:val="Normal"/>
        <w:spacing w:lineRule="auto" w:line="276"/>
        <w:jc w:val="both"/>
        <w:rPr/>
      </w:pPr>
      <w:r>
        <w:rPr>
          <w:rStyle w:val="Domylnaczcionkaakapitu"/>
          <w:rFonts w:eastAsia="Times New Roman" w:cs="Times New Roman" w:ascii="Calibri" w:hAnsi="Calibri"/>
        </w:rPr>
        <w:t>d. dodatek z tytułu wychowywania dziecka w rodzinie wielodzietnej (</w:t>
      </w:r>
      <w:r>
        <w:rPr>
          <w:rStyle w:val="Domylnaczcionkaakapitu"/>
          <w:rFonts w:eastAsia="Times New Roman" w:cs="Times New Roman" w:ascii="Calibri" w:hAnsi="Calibri"/>
          <w:b/>
          <w:bCs/>
        </w:rPr>
        <w:t>95</w:t>
      </w:r>
      <w:r>
        <w:rPr>
          <w:rStyle w:val="Domylnaczcionkaakapitu"/>
          <w:rFonts w:eastAsia="Times New Roman" w:cs="Times New Roman" w:ascii="Calibri" w:hAnsi="Calibri"/>
          <w:b/>
        </w:rPr>
        <w:t xml:space="preserve"> zł </w:t>
      </w:r>
      <w:r>
        <w:rPr>
          <w:rStyle w:val="Domylnaczcionkaakapitu"/>
          <w:rFonts w:eastAsia="Times New Roman" w:cs="Times New Roman" w:ascii="Calibri" w:hAnsi="Calibri"/>
        </w:rPr>
        <w:t>miesięcznie);</w:t>
      </w:r>
    </w:p>
    <w:p>
      <w:pPr>
        <w:pStyle w:val="Normal"/>
        <w:spacing w:lineRule="auto" w:line="276"/>
        <w:jc w:val="both"/>
        <w:rPr/>
      </w:pPr>
      <w:r>
        <w:rPr>
          <w:rStyle w:val="Domylnaczcionkaakapitu"/>
          <w:rFonts w:eastAsia="Times New Roman" w:cs="Times New Roman" w:ascii="Calibri" w:hAnsi="Calibri"/>
        </w:rPr>
        <w:t>e. dodatek z tytułu kształcenia i rehabilitacji dziecka niepełnosprawnego (</w:t>
      </w:r>
      <w:r>
        <w:rPr>
          <w:rStyle w:val="Domylnaczcionkaakapitu"/>
          <w:rFonts w:eastAsia="Times New Roman" w:cs="Times New Roman" w:ascii="Calibri" w:hAnsi="Calibri"/>
          <w:b/>
        </w:rPr>
        <w:t xml:space="preserve">90 zł </w:t>
      </w:r>
      <w:r>
        <w:rPr>
          <w:rStyle w:val="Domylnaczcionkaakapitu"/>
          <w:rFonts w:eastAsia="Times New Roman" w:cs="Times New Roman" w:ascii="Calibri" w:hAnsi="Calibri"/>
        </w:rPr>
        <w:t xml:space="preserve">miesięcznie                     na dziecko do 5 roku życia, </w:t>
      </w:r>
      <w:r>
        <w:rPr>
          <w:rStyle w:val="Domylnaczcionkaakapitu"/>
          <w:rFonts w:eastAsia="Times New Roman" w:cs="Times New Roman" w:ascii="Calibri" w:hAnsi="Calibri"/>
          <w:b/>
        </w:rPr>
        <w:t xml:space="preserve">110 zł </w:t>
      </w:r>
      <w:r>
        <w:rPr>
          <w:rStyle w:val="Domylnaczcionkaakapitu"/>
          <w:rFonts w:eastAsia="Times New Roman" w:cs="Times New Roman" w:ascii="Calibri" w:hAnsi="Calibri"/>
        </w:rPr>
        <w:t>miesięcznie</w:t>
      </w:r>
      <w:r>
        <w:rPr>
          <w:rStyle w:val="Domylnaczcionkaakapitu"/>
          <w:rFonts w:eastAsia="Times New Roman" w:cs="Times New Roman" w:ascii="Calibri" w:hAnsi="Calibri"/>
          <w:b/>
        </w:rPr>
        <w:t xml:space="preserve"> </w:t>
      </w:r>
      <w:r>
        <w:rPr>
          <w:rStyle w:val="Domylnaczcionkaakapitu"/>
          <w:rFonts w:eastAsia="Times New Roman" w:cs="Times New Roman" w:ascii="Calibri" w:hAnsi="Calibri"/>
        </w:rPr>
        <w:t>– na dziecko od 5 do 24 roku życia);</w:t>
      </w:r>
    </w:p>
    <w:p>
      <w:pPr>
        <w:pStyle w:val="Normal"/>
        <w:spacing w:lineRule="auto" w:line="276"/>
        <w:jc w:val="both"/>
        <w:rPr/>
      </w:pPr>
      <w:r>
        <w:rPr>
          <w:rStyle w:val="Domylnaczcionkaakapitu"/>
          <w:rFonts w:eastAsia="Times New Roman" w:cs="Times New Roman" w:ascii="Calibri" w:hAnsi="Calibri"/>
        </w:rPr>
        <w:t>f. dodatek z tytułu rozpoczęcia roku szkolnego (</w:t>
      </w:r>
      <w:r>
        <w:rPr>
          <w:rStyle w:val="Domylnaczcionkaakapitu"/>
          <w:rFonts w:eastAsia="Times New Roman" w:cs="Times New Roman" w:ascii="Calibri" w:hAnsi="Calibri"/>
          <w:b/>
        </w:rPr>
        <w:t>100 zł</w:t>
      </w:r>
      <w:r>
        <w:rPr>
          <w:rStyle w:val="Domylnaczcionkaakapitu"/>
          <w:rFonts w:eastAsia="Times New Roman" w:cs="Times New Roman" w:ascii="Calibri" w:hAnsi="Calibri"/>
        </w:rPr>
        <w:t>, świadczenie jednorazowe);</w:t>
      </w:r>
    </w:p>
    <w:p>
      <w:pPr>
        <w:pStyle w:val="Normal"/>
        <w:spacing w:lineRule="auto" w:line="276"/>
        <w:jc w:val="both"/>
        <w:rPr>
          <w:rFonts w:ascii="Calibri" w:hAnsi="Calibri" w:eastAsia="Times New Roman" w:cs="Times New Roman"/>
        </w:rPr>
      </w:pPr>
      <w:r>
        <w:rPr>
          <w:rFonts w:eastAsia="Times New Roman" w:cs="Times New Roman" w:ascii="Calibri" w:hAnsi="Calibri"/>
        </w:rPr>
        <w:t>g. dodatek z tytułu podjęcia przez dziecko nauki w szkole poza miejscem zamieszkania:</w:t>
      </w:r>
    </w:p>
    <w:p>
      <w:pPr>
        <w:pStyle w:val="Normal"/>
        <w:spacing w:lineRule="auto" w:line="276"/>
        <w:jc w:val="both"/>
        <w:rPr/>
      </w:pPr>
      <w:r>
        <w:rPr>
          <w:rStyle w:val="Domylnaczcionkaakapitu"/>
          <w:rFonts w:eastAsia="Times New Roman" w:cs="Times New Roman" w:ascii="Calibri" w:hAnsi="Calibri"/>
        </w:rPr>
        <w:t>- w związku z zamieszkaniem w miejscowości (</w:t>
      </w:r>
      <w:r>
        <w:rPr>
          <w:rStyle w:val="Domylnaczcionkaakapitu"/>
          <w:rFonts w:eastAsia="Times New Roman" w:cs="Times New Roman" w:ascii="Calibri" w:hAnsi="Calibri"/>
          <w:b/>
          <w:bCs/>
        </w:rPr>
        <w:t xml:space="preserve">113 zł </w:t>
      </w:r>
      <w:r>
        <w:rPr>
          <w:rStyle w:val="Domylnaczcionkaakapitu"/>
          <w:rFonts w:eastAsia="Times New Roman" w:cs="Times New Roman" w:ascii="Calibri" w:hAnsi="Calibri"/>
        </w:rPr>
        <w:t>miesięcznie, internat);</w:t>
      </w:r>
    </w:p>
    <w:p>
      <w:pPr>
        <w:pStyle w:val="Normal"/>
        <w:spacing w:lineRule="auto" w:line="276"/>
        <w:jc w:val="both"/>
        <w:rPr/>
      </w:pPr>
      <w:r>
        <w:rPr>
          <w:rStyle w:val="Domylnaczcionkaakapitu"/>
          <w:rFonts w:eastAsia="Times New Roman" w:cs="Times New Roman" w:ascii="Calibri" w:hAnsi="Calibri"/>
        </w:rPr>
        <w:t>- w związku z dojazdem z miejsca zamieszkania do miejscowości (</w:t>
      </w:r>
      <w:r>
        <w:rPr>
          <w:rStyle w:val="Domylnaczcionkaakapitu"/>
          <w:rFonts w:eastAsia="Times New Roman" w:cs="Times New Roman" w:ascii="Calibri" w:hAnsi="Calibri"/>
          <w:b/>
          <w:bCs/>
        </w:rPr>
        <w:t>69 zł</w:t>
      </w:r>
      <w:r>
        <w:rPr>
          <w:rStyle w:val="Domylnaczcionkaakapitu"/>
          <w:rFonts w:eastAsia="Times New Roman" w:cs="Times New Roman" w:ascii="Calibri" w:hAnsi="Calibri"/>
        </w:rPr>
        <w:t xml:space="preserve"> miesięcznie).</w:t>
      </w:r>
    </w:p>
    <w:p>
      <w:pPr>
        <w:pStyle w:val="Normal"/>
        <w:spacing w:lineRule="auto" w:line="276"/>
        <w:jc w:val="both"/>
        <w:rPr>
          <w:rFonts w:ascii="Calibri" w:hAnsi="Calibri" w:eastAsia="Times New Roman" w:cs="Times New Roman"/>
        </w:rPr>
      </w:pPr>
      <w:r>
        <w:rPr>
          <w:rFonts w:eastAsia="Times New Roman" w:cs="Times New Roman" w:ascii="Calibri" w:hAnsi="Calibri"/>
        </w:rPr>
      </w:r>
    </w:p>
    <w:p>
      <w:pPr>
        <w:pStyle w:val="Normal"/>
        <w:spacing w:lineRule="auto" w:line="276"/>
        <w:jc w:val="both"/>
        <w:rPr>
          <w:rFonts w:ascii="Calibri" w:hAnsi="Calibri" w:eastAsia="Times New Roman" w:cs="Times New Roman"/>
          <w:b/>
        </w:rPr>
      </w:pPr>
      <w:r>
        <w:rPr>
          <w:rFonts w:eastAsia="Times New Roman" w:cs="Times New Roman" w:ascii="Calibri" w:hAnsi="Calibri"/>
          <w:b/>
        </w:rPr>
        <w:t>2. Świadczenia opiekuńcze:</w:t>
      </w:r>
    </w:p>
    <w:p>
      <w:pPr>
        <w:pStyle w:val="Normal"/>
        <w:spacing w:lineRule="auto" w:line="276"/>
        <w:jc w:val="both"/>
        <w:rPr/>
      </w:pPr>
      <w:r>
        <w:rPr>
          <w:rStyle w:val="Domylnaczcionkaakapitu"/>
          <w:rFonts w:eastAsia="Times New Roman" w:cs="Times New Roman" w:ascii="Calibri" w:hAnsi="Calibri"/>
        </w:rPr>
        <w:t>a. zasiłek pielęgnacyjny (od 01.11.2019 r</w:t>
      </w:r>
      <w:r>
        <w:rPr>
          <w:rStyle w:val="Domylnaczcionkaakapitu"/>
          <w:rFonts w:eastAsia="Times New Roman" w:cs="Times New Roman" w:ascii="Calibri" w:hAnsi="Calibri"/>
          <w:bCs/>
        </w:rPr>
        <w:t>.</w:t>
      </w:r>
      <w:r>
        <w:rPr>
          <w:rStyle w:val="Domylnaczcionkaakapitu"/>
          <w:rFonts w:eastAsia="Times New Roman" w:cs="Times New Roman" w:ascii="Calibri" w:hAnsi="Calibri"/>
          <w:b/>
        </w:rPr>
        <w:t xml:space="preserve"> </w:t>
      </w:r>
      <w:r>
        <w:rPr>
          <w:rStyle w:val="Domylnaczcionkaakapitu"/>
          <w:rFonts w:eastAsia="Times New Roman" w:cs="Times New Roman" w:ascii="Calibri" w:hAnsi="Calibri"/>
        </w:rPr>
        <w:t>wynosi</w:t>
      </w:r>
      <w:r>
        <w:rPr>
          <w:rStyle w:val="Domylnaczcionkaakapitu"/>
          <w:rFonts w:eastAsia="Times New Roman" w:cs="Times New Roman" w:ascii="Calibri" w:hAnsi="Calibri"/>
          <w:b/>
        </w:rPr>
        <w:t xml:space="preserve"> 215,84 zł </w:t>
      </w:r>
      <w:r>
        <w:rPr>
          <w:rStyle w:val="Domylnaczcionkaakapitu"/>
          <w:rFonts w:eastAsia="Times New Roman" w:cs="Times New Roman" w:ascii="Calibri" w:hAnsi="Calibri"/>
        </w:rPr>
        <w:t>miesięcznie);</w:t>
      </w:r>
    </w:p>
    <w:p>
      <w:pPr>
        <w:pStyle w:val="Normal"/>
        <w:spacing w:lineRule="auto" w:line="276"/>
        <w:jc w:val="both"/>
        <w:rPr/>
      </w:pPr>
      <w:r>
        <w:rPr>
          <w:rStyle w:val="Domylnaczcionkaakapitu"/>
          <w:rFonts w:eastAsia="Times New Roman" w:cs="Times New Roman" w:ascii="Calibri" w:hAnsi="Calibri"/>
        </w:rPr>
        <w:t xml:space="preserve">b. świadczenie pielęgnacyjne (od 1 stycznia 2025 r. wynosi </w:t>
      </w:r>
      <w:r>
        <w:rPr>
          <w:rStyle w:val="Domylnaczcionkaakapitu"/>
          <w:rFonts w:eastAsia="Times New Roman" w:cs="Times New Roman" w:ascii="Calibri" w:hAnsi="Calibri"/>
          <w:b/>
          <w:bCs/>
        </w:rPr>
        <w:t xml:space="preserve">3 287 </w:t>
      </w:r>
      <w:r>
        <w:rPr>
          <w:rStyle w:val="Domylnaczcionkaakapitu"/>
          <w:rFonts w:eastAsia="Times New Roman" w:cs="Times New Roman" w:ascii="Calibri" w:hAnsi="Calibri"/>
          <w:b/>
        </w:rPr>
        <w:t>zł</w:t>
      </w:r>
      <w:r>
        <w:rPr>
          <w:rStyle w:val="Domylnaczcionkaakapitu"/>
          <w:rFonts w:eastAsia="Times New Roman" w:cs="Times New Roman" w:ascii="Calibri" w:hAnsi="Calibri"/>
        </w:rPr>
        <w:t xml:space="preserve"> miesięcznie);                                                                                                                                                           </w:t>
      </w:r>
    </w:p>
    <w:p>
      <w:pPr>
        <w:pStyle w:val="Normal"/>
        <w:spacing w:lineRule="auto" w:line="276"/>
        <w:jc w:val="both"/>
        <w:rPr/>
      </w:pPr>
      <w:r>
        <w:rPr>
          <w:rStyle w:val="Domylnaczcionkaakapitu"/>
          <w:rFonts w:eastAsia="Times New Roman" w:cs="Times New Roman" w:ascii="Calibri" w:hAnsi="Calibri"/>
        </w:rPr>
        <w:t>c. specjalny zasiłek opiekuńczy (</w:t>
      </w:r>
      <w:r>
        <w:rPr>
          <w:rStyle w:val="Domylnaczcionkaakapitu"/>
          <w:rFonts w:eastAsia="Times New Roman" w:cs="Times New Roman" w:ascii="Calibri" w:hAnsi="Calibri"/>
          <w:b/>
          <w:bCs/>
        </w:rPr>
        <w:t>620 zł</w:t>
      </w:r>
      <w:r>
        <w:rPr>
          <w:rStyle w:val="Domylnaczcionkaakapitu"/>
          <w:rFonts w:eastAsia="Times New Roman" w:cs="Times New Roman" w:ascii="Calibri" w:hAnsi="Calibri"/>
        </w:rPr>
        <w:t xml:space="preserve"> miesięcznie).</w:t>
      </w:r>
    </w:p>
    <w:p>
      <w:pPr>
        <w:pStyle w:val="Normal"/>
        <w:spacing w:lineRule="auto" w:line="276"/>
        <w:jc w:val="both"/>
        <w:rPr>
          <w:rFonts w:ascii="Calibri" w:hAnsi="Calibri" w:eastAsia="Times New Roman" w:cs="Times New Roman"/>
        </w:rPr>
      </w:pPr>
      <w:r>
        <w:rPr>
          <w:rFonts w:eastAsia="Times New Roman" w:cs="Times New Roman" w:ascii="Calibri" w:hAnsi="Calibri"/>
          <w:b/>
        </w:rPr>
        <w:t>3. Zapomoga wypłacana przez gminy, na podstawie art. 22a ustawy o świadczeniach rodzinnych.</w:t>
      </w:r>
    </w:p>
    <w:p>
      <w:pPr>
        <w:pStyle w:val="Normal"/>
        <w:spacing w:lineRule="auto" w:line="276"/>
        <w:jc w:val="both"/>
        <w:rPr>
          <w:rFonts w:ascii="Calibri" w:hAnsi="Calibri" w:eastAsia="Times New Roman" w:cs="Times New Roman"/>
          <w:b/>
        </w:rPr>
      </w:pPr>
      <w:r>
        <w:rPr>
          <w:rFonts w:eastAsia="Times New Roman" w:cs="Times New Roman" w:ascii="Calibri" w:hAnsi="Calibri"/>
          <w:b/>
        </w:rPr>
      </w:r>
    </w:p>
    <w:p>
      <w:pPr>
        <w:pStyle w:val="Normal"/>
        <w:spacing w:lineRule="auto" w:line="276"/>
        <w:jc w:val="both"/>
        <w:rPr/>
      </w:pPr>
      <w:r>
        <w:rPr>
          <w:rStyle w:val="Domylnaczcionkaakapitu"/>
          <w:rFonts w:eastAsia="Times New Roman" w:cs="Times New Roman" w:ascii="Calibri" w:hAnsi="Calibri"/>
          <w:b/>
        </w:rPr>
        <w:t xml:space="preserve">4. Jednorazowa zapomoga z tytułu urodzenia się dziecka </w:t>
      </w:r>
      <w:r>
        <w:rPr>
          <w:rStyle w:val="Domylnaczcionkaakapitu"/>
          <w:rFonts w:eastAsia="Times New Roman" w:cs="Times New Roman" w:ascii="Calibri" w:hAnsi="Calibri"/>
          <w:bCs/>
        </w:rPr>
        <w:t>(</w:t>
      </w:r>
      <w:r>
        <w:rPr>
          <w:rStyle w:val="Domylnaczcionkaakapitu"/>
          <w:rFonts w:eastAsia="Times New Roman" w:cs="Times New Roman" w:ascii="Calibri" w:hAnsi="Calibri"/>
          <w:b/>
        </w:rPr>
        <w:t xml:space="preserve">1 000 zł na dziecko, </w:t>
      </w:r>
      <w:r>
        <w:rPr>
          <w:rStyle w:val="Domylnaczcionkaakapitu"/>
          <w:rFonts w:eastAsia="Times New Roman" w:cs="Times New Roman" w:ascii="Calibri" w:hAnsi="Calibri"/>
        </w:rPr>
        <w:t>świadczenie jednorazowe).</w:t>
      </w:r>
    </w:p>
    <w:p>
      <w:pPr>
        <w:pStyle w:val="Normal"/>
        <w:spacing w:lineRule="auto" w:line="276"/>
        <w:jc w:val="both"/>
        <w:rPr>
          <w:rFonts w:ascii="Calibri" w:hAnsi="Calibri" w:eastAsia="Times New Roman" w:cs="Times New Roman"/>
          <w:b/>
        </w:rPr>
      </w:pPr>
      <w:r>
        <w:rPr>
          <w:rFonts w:eastAsia="Times New Roman" w:cs="Times New Roman" w:ascii="Calibri" w:hAnsi="Calibri"/>
          <w:b/>
        </w:rPr>
      </w:r>
    </w:p>
    <w:p>
      <w:pPr>
        <w:pStyle w:val="Normal"/>
        <w:spacing w:lineRule="auto" w:line="276"/>
        <w:jc w:val="both"/>
        <w:rPr/>
      </w:pPr>
      <w:r>
        <w:rPr>
          <w:rStyle w:val="Domylnaczcionkaakapitu"/>
          <w:rFonts w:eastAsia="Times New Roman" w:cs="Times New Roman" w:ascii="Calibri" w:hAnsi="Calibri"/>
          <w:b/>
        </w:rPr>
        <w:t xml:space="preserve">5. Zasiłek dla opiekuna </w:t>
      </w:r>
      <w:r>
        <w:rPr>
          <w:rStyle w:val="Domylnaczcionkaakapitu"/>
          <w:rFonts w:eastAsia="Times New Roman" w:cs="Times New Roman" w:ascii="Calibri" w:hAnsi="Calibri"/>
        </w:rPr>
        <w:t>(</w:t>
      </w:r>
      <w:r>
        <w:rPr>
          <w:rStyle w:val="Domylnaczcionkaakapitu"/>
          <w:rFonts w:eastAsia="Times New Roman" w:cs="Times New Roman" w:ascii="Calibri" w:hAnsi="Calibri"/>
          <w:b/>
          <w:bCs/>
        </w:rPr>
        <w:t>620 zł</w:t>
      </w:r>
      <w:r>
        <w:rPr>
          <w:rStyle w:val="Domylnaczcionkaakapitu"/>
          <w:rFonts w:eastAsia="Times New Roman" w:cs="Times New Roman" w:ascii="Calibri" w:hAnsi="Calibri"/>
        </w:rPr>
        <w:t xml:space="preserve"> miesięcznie).</w:t>
      </w:r>
    </w:p>
    <w:p>
      <w:pPr>
        <w:pStyle w:val="Normal"/>
        <w:spacing w:lineRule="auto" w:line="276"/>
        <w:jc w:val="both"/>
        <w:rPr>
          <w:rFonts w:ascii="Calibri" w:hAnsi="Calibri" w:eastAsia="Times New Roman" w:cs="Times New Roman"/>
        </w:rPr>
      </w:pPr>
      <w:r>
        <w:rPr>
          <w:rFonts w:eastAsia="Times New Roman" w:cs="Times New Roman" w:ascii="Calibri" w:hAnsi="Calibri"/>
        </w:rPr>
      </w:r>
    </w:p>
    <w:p>
      <w:pPr>
        <w:pStyle w:val="Normal"/>
        <w:spacing w:lineRule="auto" w:line="276"/>
        <w:jc w:val="both"/>
        <w:rPr/>
      </w:pPr>
      <w:r>
        <w:rPr>
          <w:rStyle w:val="Domylnaczcionkaakapitu"/>
          <w:rFonts w:eastAsia="Times New Roman" w:cs="Times New Roman" w:ascii="Calibri" w:hAnsi="Calibri"/>
          <w:b/>
        </w:rPr>
        <w:t>6. Świadczenie rodzicielskie</w:t>
      </w:r>
      <w:r>
        <w:rPr>
          <w:rStyle w:val="Domylnaczcionkaakapitu"/>
          <w:rFonts w:eastAsia="Times New Roman" w:cs="Times New Roman" w:ascii="Calibri" w:hAnsi="Calibri"/>
        </w:rPr>
        <w:t xml:space="preserve"> jest świadczeniem obowiązującym od 1 stycznia 2016 roku i wynosi</w:t>
      </w:r>
      <w:r>
        <w:rPr>
          <w:rStyle w:val="Domylnaczcionkaakapitu"/>
          <w:rFonts w:eastAsia="Times New Roman" w:cs="Times New Roman" w:ascii="Calibri" w:hAnsi="Calibri"/>
          <w:b/>
        </w:rPr>
        <w:t xml:space="preserve"> </w:t>
        <w:br/>
        <w:t xml:space="preserve">1 000 zł </w:t>
      </w:r>
      <w:r>
        <w:rPr>
          <w:rStyle w:val="Domylnaczcionkaakapitu"/>
          <w:rFonts w:eastAsia="Times New Roman" w:cs="Times New Roman" w:ascii="Calibri" w:hAnsi="Calibri"/>
        </w:rPr>
        <w:t>miesięcznie.</w:t>
      </w:r>
    </w:p>
    <w:p>
      <w:pPr>
        <w:pStyle w:val="Normal"/>
        <w:spacing w:lineRule="auto" w:line="276"/>
        <w:rPr>
          <w:rFonts w:ascii="Calibri" w:hAnsi="Calibri" w:eastAsia="Times New Roman" w:cs="Times New Roman"/>
        </w:rPr>
      </w:pPr>
      <w:r>
        <w:rPr>
          <w:rFonts w:eastAsia="Times New Roman" w:cs="Times New Roman" w:ascii="Calibri" w:hAnsi="Calibri"/>
        </w:rPr>
      </w:r>
    </w:p>
    <w:p>
      <w:pPr>
        <w:pStyle w:val="Normal"/>
        <w:spacing w:lineRule="auto" w:line="276"/>
        <w:jc w:val="both"/>
        <w:rPr/>
      </w:pPr>
      <w:r>
        <w:rPr>
          <w:rStyle w:val="Domylnaczcionkaakapitu"/>
          <w:rFonts w:eastAsia="Times New Roman" w:cs="Times New Roman" w:ascii="Calibri" w:hAnsi="Calibri"/>
        </w:rPr>
        <w:tab/>
        <w:t xml:space="preserve">Określone w ustawie pieniężne świadczenia rodzinne mają na celu wspieranie rodziny </w:t>
        <w:br/>
        <w:t>w realizowaniu jej funkcji opiekuńczej, wychowawczej i edukacyjnej związanych z utrzymaniem dziecka w oparciu o kryterium dochodowe, których środkiem finansowania jest budżet państwa. Obok posiadania dziecka na utrzymaniu, głównym kryterium uprawniającym do świadczeń rodzinnych, jest przeciętny miesięczny dochód w przeliczeniu na osobę w rodzinie z roku kalendarzowego poprzedzającego okres zasiłkowy.</w:t>
        <w:tab/>
        <w:t>Kryterium dochodowe dotyczy dochodu netto, tj. po odliczeniu podatku dochodowego i składek na ubezpieczenie społeczne oraz na ubezpieczenie zdrowotne, które</w:t>
      </w:r>
      <w:r>
        <w:rPr>
          <w:rStyle w:val="Domylnaczcionkaakapitu"/>
          <w:rFonts w:eastAsia="Times New Roman" w:cs="Times New Roman" w:ascii="Calibri" w:hAnsi="Calibri"/>
          <w:b/>
        </w:rPr>
        <w:t xml:space="preserve"> </w:t>
      </w:r>
      <w:r>
        <w:rPr>
          <w:rStyle w:val="Domylnaczcionkaakapitu"/>
          <w:rFonts w:eastAsia="Times New Roman" w:cs="Times New Roman" w:ascii="Calibri" w:hAnsi="Calibri"/>
        </w:rPr>
        <w:t xml:space="preserve">w okresie </w:t>
      </w:r>
      <w:r>
        <w:rPr>
          <w:rStyle w:val="Domylnaczcionkaakapitu"/>
          <w:rFonts w:eastAsia="Times New Roman" w:cs="Times New Roman" w:ascii="Calibri" w:hAnsi="Calibri"/>
          <w:b/>
        </w:rPr>
        <w:t xml:space="preserve">od dnia 1 listopada 2015 r. do dnia 31 października 2026 r. </w:t>
      </w:r>
      <w:r>
        <w:rPr>
          <w:rStyle w:val="Domylnaczcionkaakapitu"/>
          <w:rFonts w:eastAsia="Times New Roman" w:cs="Times New Roman" w:ascii="Calibri" w:hAnsi="Calibri"/>
        </w:rPr>
        <w:t>wynosi</w:t>
      </w:r>
      <w:r>
        <w:rPr>
          <w:rStyle w:val="Domylnaczcionkaakapitu"/>
          <w:rFonts w:eastAsia="Times New Roman" w:cs="Times New Roman" w:ascii="Calibri" w:hAnsi="Calibri"/>
          <w:b/>
        </w:rPr>
        <w:t xml:space="preserve"> 674 zł </w:t>
      </w:r>
      <w:r>
        <w:rPr>
          <w:rStyle w:val="Domylnaczcionkaakapitu"/>
          <w:rFonts w:eastAsia="Times New Roman" w:cs="Times New Roman" w:ascii="Calibri" w:hAnsi="Calibri"/>
        </w:rPr>
        <w:t xml:space="preserve">na osobę lub </w:t>
      </w:r>
      <w:r>
        <w:rPr>
          <w:rStyle w:val="Domylnaczcionkaakapitu"/>
          <w:rFonts w:eastAsia="Times New Roman" w:cs="Times New Roman" w:ascii="Calibri" w:hAnsi="Calibri"/>
          <w:b/>
        </w:rPr>
        <w:t xml:space="preserve">764 zł </w:t>
      </w:r>
      <w:r>
        <w:rPr>
          <w:rStyle w:val="Domylnaczcionkaakapitu"/>
          <w:rFonts w:eastAsia="Times New Roman" w:cs="Times New Roman" w:ascii="Calibri" w:hAnsi="Calibri"/>
        </w:rPr>
        <w:t xml:space="preserve">na osobę, jeśli w rodzinie wychowywane jest dziecko niepełnosprawne. </w:t>
        <w:br/>
        <w:t>W przypadku ubiegania się o jednorazową zapomogę z tytułu urodzenia się dziecka urodzonego po 1 stycznia 2013 roku kryterium dochodowe stanowi kwotę</w:t>
      </w:r>
      <w:r>
        <w:rPr>
          <w:rStyle w:val="Domylnaczcionkaakapitu"/>
          <w:rFonts w:eastAsia="Times New Roman" w:cs="Times New Roman" w:ascii="Calibri" w:hAnsi="Calibri"/>
          <w:b/>
        </w:rPr>
        <w:t xml:space="preserve"> 1 922 zł </w:t>
      </w:r>
      <w:r>
        <w:rPr>
          <w:rStyle w:val="Domylnaczcionkaakapitu"/>
          <w:rFonts w:eastAsia="Times New Roman" w:cs="Times New Roman" w:ascii="Calibri" w:hAnsi="Calibri"/>
        </w:rPr>
        <w:t xml:space="preserve">miesięcznie na osobę w rodzinie. </w:t>
        <w:tab/>
        <w:tab/>
        <w:tab/>
        <w:t xml:space="preserve"> </w:t>
        <w:tab/>
        <w:tab/>
      </w:r>
    </w:p>
    <w:p>
      <w:pPr>
        <w:pStyle w:val="Normal"/>
        <w:spacing w:lineRule="auto" w:line="276" w:before="0" w:after="200"/>
        <w:jc w:val="both"/>
        <w:rPr/>
      </w:pPr>
      <w:r>
        <w:rPr>
          <w:rStyle w:val="Domylnaczcionkaakapitu"/>
          <w:rFonts w:eastAsia="Times New Roman" w:cs="Times New Roman" w:ascii="Calibri" w:hAnsi="Calibri"/>
        </w:rPr>
        <w:tab/>
        <w:t>Od 1 stycznia 2016 r. obowiązują zasady przyznawania zasiłku rodzinnego w przypadku przekroczenia kryterium dochodowego</w:t>
      </w:r>
      <w:r>
        <w:rPr>
          <w:rStyle w:val="Domylnaczcionkaakapitu"/>
          <w:rFonts w:eastAsia="Times New Roman" w:cs="Times New Roman" w:ascii="Calibri" w:hAnsi="Calibri"/>
          <w:b/>
        </w:rPr>
        <w:t xml:space="preserve"> </w:t>
      </w:r>
      <w:r>
        <w:rPr>
          <w:rStyle w:val="Domylnaczcionkaakapitu"/>
          <w:rFonts w:eastAsia="Times New Roman" w:cs="Times New Roman" w:ascii="Calibri" w:hAnsi="Calibri"/>
          <w:i/>
        </w:rPr>
        <w:t>"złotówka za złotówkę".</w:t>
      </w:r>
      <w:r>
        <w:rPr>
          <w:rStyle w:val="Domylnaczcionkaakapitu"/>
          <w:rFonts w:eastAsia="Times New Roman" w:cs="Times New Roman" w:ascii="Calibri" w:hAnsi="Calibri"/>
        </w:rPr>
        <w:t xml:space="preserve"> Za przekroczenie progu o każdą złotówkę łączna kwota świadczeń przysługujących rodzinie jest pomniejszana o 1,00 zł.</w:t>
      </w:r>
    </w:p>
    <w:p>
      <w:pPr>
        <w:pStyle w:val="Normal"/>
        <w:spacing w:lineRule="auto" w:line="276" w:before="0" w:after="200"/>
        <w:jc w:val="both"/>
        <w:rPr>
          <w:rFonts w:ascii="Calibri" w:hAnsi="Calibri" w:eastAsia="Times New Roman" w:cs="Times New Roman"/>
        </w:rPr>
      </w:pPr>
      <w:r>
        <w:rPr>
          <w:rFonts w:eastAsia="Times New Roman" w:cs="Times New Roman" w:ascii="Calibri" w:hAnsi="Calibri"/>
        </w:rPr>
        <w:tab/>
        <w:t xml:space="preserve">W przypadku, gdy prawo do świadczeń rodzinnych uzależnione jest od orzeczenia </w:t>
        <w:br/>
        <w:t>o niepełnosprawności lub stopnia niepełnosprawności, prawo do powyższych świadczeń ustala się do ostatniego dnia miesiąca, w którym upływa termin ważności orzeczenia. Aby skorzystać</w:t>
        <w:br/>
        <w:t>z dodatków należy przede wszystkim mieć prawo do zasiłku rodzinnego.</w:t>
      </w:r>
    </w:p>
    <w:p>
      <w:pPr>
        <w:pStyle w:val="Normal"/>
        <w:spacing w:lineRule="auto" w:line="276"/>
        <w:jc w:val="both"/>
        <w:rPr>
          <w:rFonts w:ascii="Calibri" w:hAnsi="Calibri" w:eastAsia="Times New Roman" w:cs="Times New Roman"/>
        </w:rPr>
      </w:pPr>
      <w:r>
        <w:rPr>
          <w:rFonts w:eastAsia="Times New Roman" w:cs="Times New Roman" w:ascii="Calibri" w:hAnsi="Calibri"/>
        </w:rPr>
        <w:tab/>
        <w:t xml:space="preserve">Organ właściwy realizuje zadania w zakresie świadczeń rodzinnych, zasiłków dla opiekunów, świadczeń z funduszu alimentacyjnego poprzez wydawanie decyzji administracyjnych na podstawie wniosków złożonych przez klientów w ustawowo wyznaczonym terminie wraz z niezbędną dokumentacją.  </w:t>
      </w:r>
    </w:p>
    <w:p>
      <w:pPr>
        <w:pStyle w:val="Normal"/>
        <w:spacing w:lineRule="auto" w:line="276"/>
        <w:jc w:val="both"/>
        <w:rPr/>
      </w:pPr>
      <w:r>
        <w:rPr>
          <w:rStyle w:val="Domylnaczcionkaakapitu"/>
          <w:rFonts w:eastAsia="Times New Roman" w:cs="Times New Roman" w:ascii="Calibri" w:hAnsi="Calibri"/>
        </w:rPr>
        <w:t xml:space="preserve">W/w ustawy wprowadziły też możliwość przekazywania świadczeń rodzinnych w </w:t>
      </w:r>
      <w:r>
        <w:rPr>
          <w:rStyle w:val="Domylnaczcionkaakapitu"/>
          <w:rFonts w:eastAsia="Times New Roman" w:cs="Times New Roman" w:ascii="Calibri" w:hAnsi="Calibri"/>
          <w:b/>
        </w:rPr>
        <w:t>formie rzeczowej lub opłacania usług</w:t>
      </w:r>
      <w:r>
        <w:rPr>
          <w:rStyle w:val="Domylnaczcionkaakapitu"/>
          <w:rFonts w:eastAsia="Times New Roman" w:cs="Times New Roman" w:ascii="Calibri" w:hAnsi="Calibri"/>
        </w:rPr>
        <w:t>, gdyby okazało się że przekazywane świadczenia pieniężne są „marnotrawione” lub wydatkowane niezgodnie z przeznaczeniem.</w:t>
      </w:r>
    </w:p>
    <w:p>
      <w:pPr>
        <w:pStyle w:val="Normal"/>
        <w:spacing w:lineRule="auto" w:line="276"/>
        <w:rPr>
          <w:rFonts w:ascii="Calibri" w:hAnsi="Calibri" w:eastAsia="Times New Roman" w:cs="Times New Roman"/>
        </w:rPr>
      </w:pPr>
      <w:r>
        <w:rPr>
          <w:rFonts w:eastAsia="Times New Roman" w:cs="Times New Roman" w:ascii="Calibri" w:hAnsi="Calibri"/>
        </w:rPr>
      </w:r>
    </w:p>
    <w:p>
      <w:pPr>
        <w:pStyle w:val="Normal"/>
        <w:spacing w:lineRule="auto" w:line="276"/>
        <w:rPr>
          <w:rFonts w:ascii="Calibri" w:hAnsi="Calibri" w:eastAsia="Times New Roman" w:cs="Times New Roman"/>
        </w:rPr>
      </w:pPr>
      <w:r>
        <w:rPr>
          <w:rFonts w:eastAsia="Times New Roman" w:cs="Times New Roman" w:ascii="Calibri" w:hAnsi="Calibri"/>
        </w:rPr>
      </w:r>
    </w:p>
    <w:p>
      <w:pPr>
        <w:pStyle w:val="Normal"/>
        <w:spacing w:lineRule="auto" w:line="276"/>
        <w:rPr>
          <w:rFonts w:ascii="Calibri" w:hAnsi="Calibri" w:eastAsia="Times New Roman" w:cs="Times New Roman"/>
        </w:rPr>
      </w:pPr>
      <w:r>
        <w:rPr>
          <w:rFonts w:eastAsia="Times New Roman" w:cs="Times New Roman" w:ascii="Calibri" w:hAnsi="Calibri"/>
        </w:rPr>
      </w:r>
    </w:p>
    <w:p>
      <w:pPr>
        <w:pStyle w:val="Normal"/>
        <w:spacing w:lineRule="auto" w:line="276"/>
        <w:rPr>
          <w:rFonts w:ascii="Calibri" w:hAnsi="Calibri" w:eastAsia="Times New Roman" w:cs="Times New Roman"/>
        </w:rPr>
      </w:pPr>
      <w:r>
        <w:rPr>
          <w:rFonts w:eastAsia="Times New Roman" w:cs="Times New Roman" w:ascii="Calibri" w:hAnsi="Calibri"/>
        </w:rPr>
      </w:r>
    </w:p>
    <w:p>
      <w:pPr>
        <w:pStyle w:val="Normal"/>
        <w:spacing w:lineRule="auto" w:line="276"/>
        <w:rPr>
          <w:rFonts w:ascii="Calibri" w:hAnsi="Calibri" w:eastAsia="Times New Roman" w:cs="Times New Roman"/>
        </w:rPr>
      </w:pPr>
      <w:r>
        <w:rPr>
          <w:rFonts w:eastAsia="Times New Roman" w:cs="Times New Roman" w:ascii="Calibri" w:hAnsi="Calibri"/>
        </w:rPr>
      </w:r>
    </w:p>
    <w:p>
      <w:pPr>
        <w:pStyle w:val="Normal"/>
        <w:spacing w:lineRule="auto" w:line="276"/>
        <w:rPr>
          <w:rFonts w:ascii="Calibri" w:hAnsi="Calibri" w:eastAsia="Times New Roman" w:cs="Times New Roman"/>
        </w:rPr>
      </w:pPr>
      <w:r>
        <w:rPr>
          <w:rFonts w:eastAsia="Times New Roman" w:cs="Times New Roman" w:ascii="Calibri" w:hAnsi="Calibri"/>
        </w:rPr>
      </w:r>
    </w:p>
    <w:p>
      <w:pPr>
        <w:pStyle w:val="Normal"/>
        <w:numPr>
          <w:ilvl w:val="0"/>
          <w:numId w:val="14"/>
        </w:numPr>
        <w:tabs>
          <w:tab w:val="clear" w:pos="709"/>
        </w:tabs>
        <w:spacing w:lineRule="auto" w:line="276"/>
        <w:ind w:firstLine="360" w:start="-360"/>
        <w:jc w:val="both"/>
        <w:rPr/>
      </w:pPr>
      <w:r>
        <w:rPr>
          <w:rStyle w:val="Domylnaczcionkaakapitu"/>
          <w:rFonts w:eastAsia="Times New Roman" w:cs="Times New Roman" w:ascii="Calibri" w:hAnsi="Calibri"/>
          <w:b/>
          <w:bCs/>
          <w:u w:val="single"/>
        </w:rPr>
        <w:t>Świadczenia z funduszu alimentacyjnego:</w:t>
      </w:r>
    </w:p>
    <w:p>
      <w:pPr>
        <w:pStyle w:val="Normal"/>
        <w:tabs>
          <w:tab w:val="clear" w:pos="709"/>
        </w:tabs>
        <w:spacing w:lineRule="auto" w:line="276"/>
        <w:ind w:firstLine="360" w:start="-360"/>
        <w:jc w:val="both"/>
        <w:rPr>
          <w:rFonts w:ascii="Calibri" w:hAnsi="Calibri" w:eastAsia="Times New Roman" w:cs="Times New Roman"/>
          <w:b/>
          <w:bCs/>
        </w:rPr>
      </w:pPr>
      <w:r>
        <w:rPr>
          <w:rFonts w:eastAsia="Times New Roman" w:cs="Times New Roman" w:ascii="Calibri" w:hAnsi="Calibri"/>
          <w:b/>
          <w:bCs/>
        </w:rPr>
      </w:r>
    </w:p>
    <w:p>
      <w:pPr>
        <w:pStyle w:val="Normal"/>
        <w:tabs>
          <w:tab w:val="clear" w:pos="709"/>
        </w:tabs>
        <w:spacing w:lineRule="auto" w:line="276"/>
        <w:ind w:firstLine="360" w:start="-360"/>
        <w:jc w:val="both"/>
        <w:rPr/>
      </w:pPr>
      <w:r>
        <w:rPr>
          <w:rStyle w:val="Domylnaczcionkaakapitu"/>
          <w:rFonts w:eastAsia="Times New Roman" w:cs="Times New Roman" w:ascii="Calibri" w:hAnsi="Calibri"/>
        </w:rPr>
        <w:t xml:space="preserve">to świadczenia wypłacane osobom uprawionym do alimentów od rodzica na podstawie tytułu wykonawczego pochodzącego lub zatwierdzonego przez Sąd (np. wyroku sądowego, ugody sądowej, ugody zawartej przed mediatorem) pod warunkiem, że osoba zobowiązana do płacenia alimentów uchyla się od obowiązku łożenia na rzecz dziecka. Świadczenia z funduszu alimentacyjnego wypłacane są wyłącznie w przypadku bezskuteczności egzekucji alimentów, czyli wówczas gdy w okresie dwóch ostatnich miesięcy nie wyegzekwowano pełnej należności z tytułu zaległych i bieżących zobowiązań alimentacyjnych. Świadczenia z funduszu alimentacyjnego są uzależnione od kryterium dochodowego </w:t>
        <w:br/>
        <w:t xml:space="preserve">i przysługują w pełnej wysokości, bieżąco ustalonych alimentów, jednakże w kwocie </w:t>
      </w:r>
      <w:r>
        <w:rPr>
          <w:rStyle w:val="Domylnaczcionkaakapitu"/>
          <w:rFonts w:eastAsia="Times New Roman" w:cs="Times New Roman" w:ascii="Calibri" w:hAnsi="Calibri"/>
          <w:b/>
        </w:rPr>
        <w:t>nie wyższej niż 500 zł</w:t>
      </w:r>
      <w:r>
        <w:rPr>
          <w:rStyle w:val="Domylnaczcionkaakapitu"/>
          <w:rFonts w:eastAsia="Times New Roman" w:cs="Times New Roman" w:ascii="Calibri" w:hAnsi="Calibri"/>
        </w:rPr>
        <w:t xml:space="preserve">, jeżeli dochód rodziny w przeliczeniu na osobę w rodzinie nie przekracza </w:t>
      </w:r>
      <w:r>
        <w:rPr>
          <w:rStyle w:val="Domylnaczcionkaakapitu"/>
          <w:rFonts w:eastAsia="Times New Roman" w:cs="Times New Roman" w:ascii="Calibri" w:hAnsi="Calibri"/>
          <w:b/>
        </w:rPr>
        <w:t>wysokości kryterium dochodowego, które od 1 października 2023 r. zostało zwiększone z kwoty 900,00 zł netto miesięcznie, na kwotę 1 209,00 zł netto miesięcznie.</w:t>
      </w:r>
    </w:p>
    <w:p>
      <w:pPr>
        <w:pStyle w:val="Normal"/>
        <w:tabs>
          <w:tab w:val="clear" w:pos="709"/>
        </w:tabs>
        <w:spacing w:lineRule="auto" w:line="276"/>
        <w:ind w:firstLine="360" w:start="-360"/>
        <w:jc w:val="both"/>
        <w:rPr/>
      </w:pPr>
      <w:r>
        <w:rPr>
          <w:rStyle w:val="Domylnaczcionkaakapitu"/>
          <w:rFonts w:eastAsia="Times New Roman" w:cs="Times New Roman" w:ascii="Calibri" w:hAnsi="Calibri"/>
          <w:b/>
        </w:rPr>
        <w:t xml:space="preserve"> </w:t>
      </w:r>
      <w:r>
        <w:rPr>
          <w:rStyle w:val="Domylnaczcionkaakapitu"/>
          <w:rFonts w:eastAsia="Times New Roman" w:cs="Times New Roman" w:ascii="Calibri" w:hAnsi="Calibri"/>
        </w:rPr>
        <w:t xml:space="preserve"> </w:t>
      </w:r>
    </w:p>
    <w:p>
      <w:pPr>
        <w:pStyle w:val="Normal"/>
        <w:spacing w:lineRule="auto" w:line="276"/>
        <w:jc w:val="both"/>
        <w:rPr/>
      </w:pPr>
      <w:r>
        <w:rPr>
          <w:rStyle w:val="Domylnaczcionkaakapitu"/>
          <w:rFonts w:eastAsia="Times New Roman" w:cs="Times New Roman" w:ascii="Calibri" w:hAnsi="Calibri"/>
        </w:rPr>
        <w:tab/>
        <w:t xml:space="preserve">Od 1 października 2020 r. weszły w życie nowe zasady przyznawania świadczenia z funduszu alimentacyjnego w przypadku przekroczenia kryterium dochodowego </w:t>
      </w:r>
      <w:r>
        <w:rPr>
          <w:rStyle w:val="Domylnaczcionkaakapitu"/>
          <w:rFonts w:eastAsia="Times New Roman" w:cs="Times New Roman" w:ascii="Calibri" w:hAnsi="Calibri"/>
          <w:i/>
        </w:rPr>
        <w:t>"złotówka za złotówkę".</w:t>
      </w:r>
    </w:p>
    <w:p>
      <w:pPr>
        <w:pStyle w:val="Normal"/>
        <w:spacing w:lineRule="auto" w:line="276"/>
        <w:jc w:val="both"/>
        <w:rPr>
          <w:rFonts w:ascii="Calibri" w:hAnsi="Calibri" w:eastAsia="Times New Roman" w:cs="Times New Roman"/>
        </w:rPr>
      </w:pPr>
      <w:r>
        <w:rPr>
          <w:rFonts w:eastAsia="Times New Roman" w:cs="Times New Roman" w:ascii="Calibri" w:hAnsi="Calibri"/>
        </w:rPr>
        <w:tab/>
        <w:t>Okres realizacji świadczeń trwa od 1 października do 30 września następnego roku kalendarzowego. W okresie wypłaty świadczeń z funduszu może wystąpić sytuacja zmiany wysokości zasądzonych alimentów poprzez ich podwyższenie lub obniżenie.</w:t>
      </w:r>
    </w:p>
    <w:p>
      <w:pPr>
        <w:pStyle w:val="Normal"/>
        <w:spacing w:lineRule="auto" w:line="276"/>
        <w:jc w:val="both"/>
        <w:rPr>
          <w:rFonts w:ascii="Calibri" w:hAnsi="Calibri" w:eastAsia="Times New Roman" w:cs="Times New Roman"/>
        </w:rPr>
      </w:pPr>
      <w:r>
        <w:rPr>
          <w:rFonts w:eastAsia="Times New Roman" w:cs="Times New Roman" w:ascii="Calibri" w:hAnsi="Calibri"/>
        </w:rPr>
      </w:r>
    </w:p>
    <w:p>
      <w:pPr>
        <w:pStyle w:val="Normal"/>
        <w:spacing w:lineRule="auto" w:line="276"/>
        <w:jc w:val="both"/>
        <w:rPr/>
      </w:pPr>
      <w:r>
        <w:rPr>
          <w:rStyle w:val="Domylnaczcionkaakapitu"/>
          <w:rFonts w:eastAsia="Calibri" w:cs="Calibri" w:ascii="Calibri" w:hAnsi="Calibri"/>
          <w:b/>
          <w:shd w:fill="FFFFFF" w:val="clear"/>
        </w:rPr>
        <w:t>●</w:t>
      </w:r>
      <w:r>
        <w:rPr>
          <w:rStyle w:val="Domylnaczcionkaakapitu"/>
          <w:rFonts w:eastAsia="Times New Roman" w:cs="Times New Roman" w:ascii="Calibri" w:hAnsi="Calibri"/>
          <w:b/>
          <w:shd w:fill="FFFFFF" w:val="clear"/>
        </w:rPr>
        <w:tab/>
      </w:r>
      <w:r>
        <w:rPr>
          <w:rStyle w:val="Domylnaczcionkaakapitu"/>
          <w:rFonts w:eastAsia="Times New Roman" w:cs="Times New Roman" w:ascii="Calibri" w:hAnsi="Calibri"/>
          <w:b/>
          <w:u w:val="single"/>
          <w:shd w:fill="FFFFFF" w:val="clear"/>
        </w:rPr>
        <w:t>Działania podejmowane wobec dłużników alimentacyjnych w świetle ustawy  o pomocy osobom uprawnionym do alimentów.</w:t>
      </w:r>
    </w:p>
    <w:p>
      <w:pPr>
        <w:pStyle w:val="Normal"/>
        <w:spacing w:lineRule="auto" w:line="276"/>
        <w:jc w:val="both"/>
        <w:rPr>
          <w:rFonts w:ascii="Calibri" w:hAnsi="Calibri" w:eastAsia="Times New Roman" w:cs="Times New Roman"/>
          <w:b/>
          <w:u w:val="single"/>
          <w:shd w:fill="FFFFFF" w:val="clear"/>
        </w:rPr>
      </w:pPr>
      <w:r>
        <w:rPr>
          <w:rFonts w:eastAsia="Times New Roman" w:cs="Times New Roman" w:ascii="Calibri" w:hAnsi="Calibri"/>
          <w:b/>
          <w:u w:val="single"/>
          <w:shd w:fill="FFFFFF" w:val="clear"/>
        </w:rPr>
      </w:r>
    </w:p>
    <w:p>
      <w:pPr>
        <w:pStyle w:val="Normal"/>
        <w:spacing w:lineRule="auto" w:line="276"/>
        <w:jc w:val="both"/>
        <w:rPr>
          <w:rFonts w:ascii="Calibri" w:hAnsi="Calibri" w:eastAsia="Times New Roman" w:cs="Times New Roman"/>
        </w:rPr>
      </w:pPr>
      <w:r>
        <w:rPr>
          <w:rFonts w:eastAsia="Times New Roman" w:cs="Times New Roman" w:ascii="Calibri" w:hAnsi="Calibri"/>
        </w:rPr>
        <w:tab/>
        <w:t>Drugie zadanie przewidziane w ustawie o pomocy osobom uprawnionym do alimentów,</w:t>
      </w:r>
    </w:p>
    <w:p>
      <w:pPr>
        <w:pStyle w:val="Normal"/>
        <w:spacing w:lineRule="auto" w:line="276"/>
        <w:jc w:val="both"/>
        <w:rPr>
          <w:rFonts w:ascii="Calibri" w:hAnsi="Calibri" w:eastAsia="Times New Roman" w:cs="Times New Roman"/>
        </w:rPr>
      </w:pPr>
      <w:r>
        <w:rPr>
          <w:rFonts w:eastAsia="Times New Roman" w:cs="Times New Roman" w:ascii="Calibri" w:hAnsi="Calibri"/>
        </w:rPr>
        <w:t>polega na podejmowaniu działań wobec dłużników alimentacyjnych w tym:  prowadzenia postępowania i podejmowania w tych sprawach wielu czynności przeciwko osobom, które w myśl ustawy o pomocy osobom uprawnionym do alimentów nie wywiązują się ze swojego obowiązku, tj.:</w:t>
      </w:r>
    </w:p>
    <w:p>
      <w:pPr>
        <w:pStyle w:val="Normal"/>
        <w:spacing w:lineRule="auto" w:line="276"/>
        <w:jc w:val="both"/>
        <w:rPr>
          <w:rFonts w:ascii="Calibri" w:hAnsi="Calibri" w:eastAsia="Times New Roman" w:cs="Times New Roman"/>
          <w:i/>
          <w:iCs/>
        </w:rPr>
      </w:pPr>
      <w:r>
        <w:rPr>
          <w:rFonts w:eastAsia="Times New Roman" w:cs="Times New Roman" w:ascii="Calibri" w:hAnsi="Calibri"/>
          <w:i/>
          <w:iCs/>
        </w:rPr>
        <w:t>1. współpraca organu właściwego dłużnika oraz organu właściwego wierzyciela z komornikiem sądowym (obowiązek przepływu informacji),</w:t>
      </w:r>
    </w:p>
    <w:p>
      <w:pPr>
        <w:pStyle w:val="Normal"/>
        <w:spacing w:lineRule="auto" w:line="276"/>
        <w:jc w:val="both"/>
        <w:rPr>
          <w:rFonts w:ascii="Calibri" w:hAnsi="Calibri" w:eastAsia="Times New Roman" w:cs="Times New Roman"/>
          <w:i/>
          <w:iCs/>
        </w:rPr>
      </w:pPr>
      <w:r>
        <w:rPr>
          <w:rFonts w:eastAsia="Times New Roman" w:cs="Times New Roman" w:ascii="Calibri" w:hAnsi="Calibri"/>
          <w:i/>
          <w:iCs/>
        </w:rPr>
        <w:t>2. wywiad alimentacyjny i oświadczenie majątkowe dłużnika,</w:t>
      </w:r>
    </w:p>
    <w:p>
      <w:pPr>
        <w:pStyle w:val="Normal"/>
        <w:spacing w:lineRule="auto" w:line="276"/>
        <w:jc w:val="both"/>
        <w:rPr>
          <w:rFonts w:ascii="Calibri" w:hAnsi="Calibri" w:eastAsia="Times New Roman" w:cs="Times New Roman"/>
          <w:i/>
          <w:iCs/>
        </w:rPr>
      </w:pPr>
      <w:r>
        <w:rPr>
          <w:rFonts w:eastAsia="Times New Roman" w:cs="Times New Roman" w:ascii="Calibri" w:hAnsi="Calibri"/>
          <w:i/>
          <w:iCs/>
        </w:rPr>
        <w:t>3. aktywizacja zawodowa dłużnika,</w:t>
      </w:r>
    </w:p>
    <w:p>
      <w:pPr>
        <w:pStyle w:val="Normal"/>
        <w:spacing w:lineRule="auto" w:line="276"/>
        <w:jc w:val="both"/>
        <w:rPr>
          <w:rFonts w:ascii="Calibri" w:hAnsi="Calibri" w:eastAsia="Times New Roman" w:cs="Times New Roman"/>
          <w:i/>
          <w:iCs/>
        </w:rPr>
      </w:pPr>
      <w:r>
        <w:rPr>
          <w:rFonts w:eastAsia="Times New Roman" w:cs="Times New Roman" w:ascii="Calibri" w:hAnsi="Calibri"/>
          <w:i/>
          <w:iCs/>
        </w:rPr>
        <w:t>4. wydanie decyzji o uznaniu dłużnika alimentacyjnego za uchylającego się od zobowiązań alimentacyjnych,</w:t>
      </w:r>
    </w:p>
    <w:p>
      <w:pPr>
        <w:pStyle w:val="Normal"/>
        <w:spacing w:lineRule="auto" w:line="276"/>
        <w:jc w:val="both"/>
        <w:rPr>
          <w:rFonts w:ascii="Calibri" w:hAnsi="Calibri" w:eastAsia="Times New Roman" w:cs="Times New Roman"/>
          <w:i/>
          <w:iCs/>
        </w:rPr>
      </w:pPr>
      <w:r>
        <w:rPr>
          <w:rFonts w:eastAsia="Times New Roman" w:cs="Times New Roman" w:ascii="Calibri" w:hAnsi="Calibri"/>
          <w:i/>
          <w:iCs/>
        </w:rPr>
        <w:t>5. złożenie wniosku o ściganie za przestępstwo niealimentacji,</w:t>
      </w:r>
    </w:p>
    <w:p>
      <w:pPr>
        <w:pStyle w:val="Normal"/>
        <w:spacing w:lineRule="auto" w:line="276"/>
        <w:jc w:val="both"/>
        <w:rPr>
          <w:rFonts w:ascii="Calibri" w:hAnsi="Calibri" w:eastAsia="Times New Roman" w:cs="Times New Roman"/>
          <w:i/>
          <w:iCs/>
        </w:rPr>
      </w:pPr>
      <w:r>
        <w:rPr>
          <w:rFonts w:eastAsia="Times New Roman" w:cs="Times New Roman" w:ascii="Calibri" w:hAnsi="Calibri"/>
          <w:i/>
          <w:iCs/>
        </w:rPr>
        <w:t>6. wydanie decyzji o zatrzymaniu prawa jazdy dłużnika,</w:t>
      </w:r>
    </w:p>
    <w:p>
      <w:pPr>
        <w:pStyle w:val="Normal"/>
        <w:spacing w:lineRule="auto" w:line="276"/>
        <w:jc w:val="both"/>
        <w:rPr>
          <w:rFonts w:ascii="Calibri" w:hAnsi="Calibri" w:eastAsia="Times New Roman" w:cs="Times New Roman"/>
          <w:i/>
          <w:iCs/>
        </w:rPr>
      </w:pPr>
      <w:r>
        <w:rPr>
          <w:rFonts w:eastAsia="Times New Roman" w:cs="Times New Roman" w:ascii="Calibri" w:hAnsi="Calibri"/>
          <w:i/>
          <w:iCs/>
        </w:rPr>
        <w:t>7. wytoczenie powództwa cywilnego na rzecz obywateli oraz przystąpienie do postępowania sądowego,</w:t>
      </w:r>
    </w:p>
    <w:p>
      <w:pPr>
        <w:pStyle w:val="Normal"/>
        <w:spacing w:lineRule="auto" w:line="276"/>
        <w:jc w:val="both"/>
        <w:rPr>
          <w:rFonts w:ascii="Calibri" w:hAnsi="Calibri" w:eastAsia="Times New Roman" w:cs="Times New Roman"/>
          <w:i/>
          <w:iCs/>
        </w:rPr>
      </w:pPr>
      <w:r>
        <w:rPr>
          <w:rFonts w:eastAsia="Times New Roman" w:cs="Times New Roman" w:ascii="Calibri" w:hAnsi="Calibri"/>
          <w:i/>
          <w:iCs/>
        </w:rPr>
        <w:t>8. przekazanie do biura informacji gospodarczej informacji o zobowiązaniach dłużnika alimentacyjnego.</w:t>
      </w:r>
    </w:p>
    <w:p>
      <w:pPr>
        <w:pStyle w:val="Normal"/>
        <w:spacing w:lineRule="auto" w:line="276"/>
        <w:jc w:val="both"/>
        <w:rPr>
          <w:rFonts w:ascii="Calibri" w:hAnsi="Calibri" w:eastAsia="Times New Roman" w:cs="Times New Roman"/>
        </w:rPr>
      </w:pPr>
      <w:r>
        <w:rPr>
          <w:rFonts w:eastAsia="Times New Roman" w:cs="Times New Roman" w:ascii="Calibri" w:hAnsi="Calibri"/>
        </w:rPr>
      </w:r>
    </w:p>
    <w:p>
      <w:pPr>
        <w:pStyle w:val="Normal"/>
        <w:spacing w:lineRule="auto" w:line="276"/>
        <w:jc w:val="both"/>
        <w:rPr>
          <w:rFonts w:ascii="Calibri" w:hAnsi="Calibri" w:eastAsia="Times New Roman" w:cs="Times New Roman"/>
        </w:rPr>
      </w:pPr>
      <w:r>
        <w:rPr>
          <w:rFonts w:eastAsia="Times New Roman" w:cs="Times New Roman" w:ascii="Calibri" w:hAnsi="Calibri"/>
        </w:rPr>
        <w:tab/>
      </w:r>
    </w:p>
    <w:p>
      <w:pPr>
        <w:pStyle w:val="Normal"/>
        <w:spacing w:lineRule="auto" w:line="276"/>
        <w:jc w:val="both"/>
        <w:rPr>
          <w:rFonts w:ascii="Calibri" w:hAnsi="Calibri" w:eastAsia="Times New Roman" w:cs="Times New Roman"/>
        </w:rPr>
      </w:pPr>
      <w:r>
        <w:rPr>
          <w:rFonts w:eastAsia="Times New Roman" w:cs="Times New Roman" w:ascii="Calibri" w:hAnsi="Calibri"/>
        </w:rPr>
      </w:r>
    </w:p>
    <w:p>
      <w:pPr>
        <w:pStyle w:val="Normal"/>
        <w:spacing w:lineRule="auto" w:line="276"/>
        <w:ind w:firstLine="709"/>
        <w:jc w:val="both"/>
        <w:rPr/>
      </w:pPr>
      <w:r>
        <w:rPr>
          <w:rStyle w:val="Domylnaczcionkaakapitu"/>
          <w:rFonts w:eastAsia="Times New Roman" w:cs="Times New Roman" w:ascii="Calibri" w:hAnsi="Calibri"/>
        </w:rPr>
        <w:t xml:space="preserve">Organ właściwy dłużnika w okresie od 1 stycznia 2025 r. do 31 grudnia 2025 r. prowadził </w:t>
      </w:r>
      <w:r>
        <w:rPr>
          <w:rStyle w:val="Domylnaczcionkaakapitu"/>
          <w:rFonts w:eastAsia="Times New Roman" w:cs="Times New Roman" w:ascii="Calibri" w:hAnsi="Calibri"/>
          <w:b/>
          <w:bCs/>
        </w:rPr>
        <w:t>postępowanie wobec dłużników alimentacyjnych</w:t>
      </w:r>
      <w:r>
        <w:rPr>
          <w:rStyle w:val="Domylnaczcionkaakapitu"/>
          <w:rFonts w:eastAsia="Times New Roman" w:cs="Times New Roman" w:ascii="Calibri" w:hAnsi="Calibri"/>
        </w:rPr>
        <w:t>, u których podjęto następujące działania:</w:t>
      </w:r>
    </w:p>
    <w:p>
      <w:pPr>
        <w:pStyle w:val="Normal"/>
        <w:spacing w:lineRule="auto" w:line="276"/>
        <w:rPr>
          <w:rFonts w:ascii="Calibri" w:hAnsi="Calibri" w:eastAsia="Times New Roman" w:cs="Times New Roman"/>
        </w:rPr>
      </w:pPr>
      <w:r>
        <w:rPr>
          <w:rFonts w:eastAsia="Times New Roman" w:cs="Times New Roman" w:ascii="Calibri" w:hAnsi="Calibri"/>
        </w:rPr>
      </w:r>
    </w:p>
    <w:p>
      <w:pPr>
        <w:pStyle w:val="Normal"/>
        <w:spacing w:lineRule="auto" w:line="276"/>
        <w:rPr/>
      </w:pPr>
      <w:r>
        <w:rPr>
          <w:rStyle w:val="Domylnaczcionkaakapitu"/>
          <w:rFonts w:eastAsia="Times New Roman" w:cs="Times New Roman" w:ascii="Calibri" w:hAnsi="Calibri"/>
          <w:b/>
          <w:bCs/>
        </w:rPr>
        <w:t xml:space="preserve">  </w:t>
      </w:r>
      <w:r>
        <w:rPr>
          <w:rStyle w:val="Domylnaczcionkaakapitu"/>
          <w:rFonts w:eastAsia="Times New Roman" w:cs="Times New Roman" w:ascii="Calibri" w:hAnsi="Calibri"/>
          <w:b/>
          <w:bCs/>
        </w:rPr>
        <w:t>1.</w:t>
      </w:r>
      <w:r>
        <w:rPr>
          <w:rStyle w:val="Domylnaczcionkaakapitu"/>
          <w:rFonts w:eastAsia="Times New Roman" w:cs="Times New Roman" w:ascii="Calibri" w:hAnsi="Calibri"/>
        </w:rPr>
        <w:t xml:space="preserve"> Wywiad alimentacyjny i oświadczenie majątkowe dłużnika – </w:t>
      </w:r>
      <w:r>
        <w:rPr>
          <w:rStyle w:val="Domylnaczcionkaakapitu"/>
          <w:rFonts w:eastAsia="Times New Roman" w:cs="Times New Roman" w:ascii="Calibri" w:hAnsi="Calibri"/>
          <w:b/>
        </w:rPr>
        <w:t xml:space="preserve">222 </w:t>
      </w:r>
      <w:r>
        <w:rPr>
          <w:rStyle w:val="Domylnaczcionkaakapitu"/>
          <w:rFonts w:eastAsia="Times New Roman" w:cs="Times New Roman" w:ascii="Calibri" w:hAnsi="Calibri"/>
        </w:rPr>
        <w:t xml:space="preserve">osoby zostały wezwane.                                                                                                                                       </w:t>
      </w:r>
    </w:p>
    <w:p>
      <w:pPr>
        <w:pStyle w:val="Normal"/>
        <w:spacing w:lineRule="auto" w:line="276"/>
        <w:rPr/>
      </w:pPr>
      <w:r>
        <w:rPr>
          <w:rStyle w:val="Domylnaczcionkaakapitu"/>
          <w:rFonts w:eastAsia="Times New Roman" w:cs="Times New Roman" w:ascii="Calibri" w:hAnsi="Calibri"/>
          <w:b/>
          <w:bCs/>
        </w:rPr>
        <w:t xml:space="preserve">  </w:t>
      </w:r>
      <w:r>
        <w:rPr>
          <w:rStyle w:val="Domylnaczcionkaakapitu"/>
          <w:rFonts w:eastAsia="Times New Roman" w:cs="Times New Roman" w:ascii="Calibri" w:hAnsi="Calibri"/>
          <w:b/>
          <w:bCs/>
        </w:rPr>
        <w:t>2.</w:t>
      </w:r>
      <w:r>
        <w:rPr>
          <w:rStyle w:val="Domylnaczcionkaakapitu"/>
          <w:rFonts w:eastAsia="Times New Roman" w:cs="Times New Roman" w:ascii="Calibri" w:hAnsi="Calibri"/>
        </w:rPr>
        <w:t xml:space="preserve"> Aktywizacja zawodowa dłużników - </w:t>
      </w:r>
      <w:r>
        <w:rPr>
          <w:rStyle w:val="Domylnaczcionkaakapitu"/>
          <w:rFonts w:eastAsia="Times New Roman" w:cs="Times New Roman" w:ascii="Calibri" w:hAnsi="Calibri"/>
          <w:b/>
        </w:rPr>
        <w:t xml:space="preserve">33 </w:t>
      </w:r>
      <w:r>
        <w:rPr>
          <w:rStyle w:val="Domylnaczcionkaakapitu"/>
          <w:rFonts w:eastAsia="Times New Roman" w:cs="Times New Roman" w:ascii="Calibri" w:hAnsi="Calibri"/>
        </w:rPr>
        <w:t xml:space="preserve"> wnioski wysłane do Powiatowego Urzędu Pracy.</w:t>
      </w:r>
    </w:p>
    <w:p>
      <w:pPr>
        <w:pStyle w:val="Normal"/>
        <w:spacing w:lineRule="auto" w:line="276"/>
        <w:rPr/>
      </w:pPr>
      <w:r>
        <w:rPr>
          <w:rStyle w:val="Domylnaczcionkaakapitu"/>
          <w:rFonts w:eastAsia="Times New Roman" w:cs="Times New Roman" w:ascii="Calibri" w:hAnsi="Calibri"/>
          <w:b/>
          <w:bCs/>
        </w:rPr>
        <w:t xml:space="preserve">  </w:t>
      </w:r>
      <w:r>
        <w:rPr>
          <w:rStyle w:val="Domylnaczcionkaakapitu"/>
          <w:rFonts w:eastAsia="Times New Roman" w:cs="Times New Roman" w:ascii="Calibri" w:hAnsi="Calibri"/>
          <w:b/>
          <w:bCs/>
        </w:rPr>
        <w:t>3.</w:t>
      </w:r>
      <w:r>
        <w:rPr>
          <w:rStyle w:val="Domylnaczcionkaakapitu"/>
          <w:rFonts w:eastAsia="Times New Roman" w:cs="Times New Roman" w:ascii="Calibri" w:hAnsi="Calibri"/>
        </w:rPr>
        <w:t xml:space="preserve"> Wszczęcie postępowania dotyczące uznania dłużnika za uchylającego się od zobowiązań</w:t>
      </w:r>
    </w:p>
    <w:p>
      <w:pPr>
        <w:pStyle w:val="Normal"/>
        <w:spacing w:lineRule="auto" w:line="276"/>
        <w:rPr/>
      </w:pPr>
      <w:r>
        <w:rPr>
          <w:rStyle w:val="Domylnaczcionkaakapitu"/>
          <w:rFonts w:eastAsia="Times New Roman" w:cs="Times New Roman" w:ascii="Calibri" w:hAnsi="Calibri"/>
        </w:rPr>
        <w:t xml:space="preserve">       </w:t>
      </w:r>
      <w:r>
        <w:rPr>
          <w:rStyle w:val="Domylnaczcionkaakapitu"/>
          <w:rFonts w:eastAsia="Times New Roman" w:cs="Times New Roman" w:ascii="Calibri" w:hAnsi="Calibri"/>
        </w:rPr>
        <w:t xml:space="preserve">alimentacyjnych - </w:t>
      </w:r>
      <w:r>
        <w:rPr>
          <w:rStyle w:val="Domylnaczcionkaakapitu"/>
          <w:rFonts w:eastAsia="Times New Roman" w:cs="Times New Roman" w:ascii="Calibri" w:hAnsi="Calibri"/>
          <w:b/>
        </w:rPr>
        <w:t xml:space="preserve">10 </w:t>
      </w:r>
      <w:r>
        <w:rPr>
          <w:rStyle w:val="Domylnaczcionkaakapitu"/>
          <w:rFonts w:eastAsia="Times New Roman" w:cs="Times New Roman" w:ascii="Calibri" w:hAnsi="Calibri"/>
        </w:rPr>
        <w:t>wszczętych postępowań.</w:t>
      </w:r>
      <w:r>
        <w:rPr>
          <w:rStyle w:val="Domylnaczcionkaakapitu"/>
          <w:rFonts w:eastAsia="Times New Roman" w:cs="Times New Roman" w:ascii="Calibri" w:hAnsi="Calibri"/>
          <w:b/>
        </w:rPr>
        <w:t xml:space="preserve">                     </w:t>
      </w:r>
    </w:p>
    <w:p>
      <w:pPr>
        <w:pStyle w:val="Normal"/>
        <w:spacing w:lineRule="auto" w:line="276"/>
        <w:rPr/>
      </w:pPr>
      <w:r>
        <w:rPr>
          <w:rStyle w:val="Domylnaczcionkaakapitu"/>
          <w:rFonts w:eastAsia="Times New Roman" w:cs="Times New Roman" w:ascii="Calibri" w:hAnsi="Calibri"/>
          <w:b/>
          <w:bCs/>
        </w:rPr>
        <w:t xml:space="preserve">  </w:t>
      </w:r>
      <w:r>
        <w:rPr>
          <w:rStyle w:val="Domylnaczcionkaakapitu"/>
          <w:rFonts w:eastAsia="Times New Roman" w:cs="Times New Roman" w:ascii="Calibri" w:hAnsi="Calibri"/>
          <w:b/>
          <w:bCs/>
        </w:rPr>
        <w:t>4.</w:t>
      </w:r>
      <w:r>
        <w:rPr>
          <w:rStyle w:val="Domylnaczcionkaakapitu"/>
          <w:rFonts w:eastAsia="Times New Roman" w:cs="Times New Roman" w:ascii="Calibri" w:hAnsi="Calibri"/>
        </w:rPr>
        <w:t xml:space="preserve"> Decyzja dotycząca dłużnika alimentacyjnego:</w:t>
      </w:r>
    </w:p>
    <w:p>
      <w:pPr>
        <w:pStyle w:val="Normal"/>
        <w:spacing w:lineRule="auto" w:line="276"/>
        <w:rPr/>
      </w:pPr>
      <w:r>
        <w:rPr>
          <w:rStyle w:val="Domylnaczcionkaakapitu"/>
          <w:rFonts w:eastAsia="Times New Roman" w:cs="Times New Roman" w:ascii="Calibri" w:hAnsi="Calibri"/>
        </w:rPr>
        <w:t xml:space="preserve">- w sprawie uznania za uchylającego się od zobowiązań alimentacyjnych – </w:t>
      </w:r>
      <w:r>
        <w:rPr>
          <w:rStyle w:val="Domylnaczcionkaakapitu"/>
          <w:rFonts w:eastAsia="Times New Roman" w:cs="Times New Roman" w:ascii="Calibri" w:hAnsi="Calibri"/>
          <w:b/>
        </w:rPr>
        <w:t xml:space="preserve">8 </w:t>
      </w:r>
      <w:r>
        <w:rPr>
          <w:rStyle w:val="Domylnaczcionkaakapitu"/>
          <w:rFonts w:eastAsia="Times New Roman" w:cs="Times New Roman" w:ascii="Calibri" w:hAnsi="Calibri"/>
        </w:rPr>
        <w:t>osób,</w:t>
        <w:br/>
        <w:t xml:space="preserve">- w sprawie umorzenia postępowania wobec dłużnika alimentacyjnego – </w:t>
      </w:r>
      <w:r>
        <w:rPr>
          <w:rStyle w:val="Domylnaczcionkaakapitu"/>
          <w:rFonts w:eastAsia="Times New Roman" w:cs="Times New Roman" w:ascii="Calibri" w:hAnsi="Calibri"/>
          <w:b/>
        </w:rPr>
        <w:t xml:space="preserve">1 </w:t>
      </w:r>
      <w:r>
        <w:rPr>
          <w:rStyle w:val="Domylnaczcionkaakapitu"/>
          <w:rFonts w:eastAsia="Times New Roman" w:cs="Times New Roman" w:ascii="Calibri" w:hAnsi="Calibri"/>
        </w:rPr>
        <w:t>osoba.</w:t>
      </w:r>
    </w:p>
    <w:p>
      <w:pPr>
        <w:pStyle w:val="Normal"/>
        <w:spacing w:lineRule="auto" w:line="276"/>
        <w:jc w:val="both"/>
        <w:rPr>
          <w:rFonts w:ascii="Calibri" w:hAnsi="Calibri"/>
          <w:sz w:val="24"/>
          <w:szCs w:val="24"/>
          <w:lang w:val="pl-PL"/>
        </w:rPr>
      </w:pPr>
      <w:r>
        <w:rPr>
          <w:rFonts w:eastAsia="Times New Roman" w:cs="Times New Roman" w:ascii="Calibri" w:hAnsi="Calibri"/>
          <w:b/>
          <w:bCs/>
          <w:color w:val="auto"/>
          <w:sz w:val="24"/>
          <w:szCs w:val="24"/>
          <w:shd w:fill="auto" w:val="clear"/>
          <w:lang w:val="pl-PL"/>
        </w:rPr>
        <w:t>5.</w:t>
      </w:r>
      <w:r>
        <w:rPr>
          <w:rFonts w:eastAsia="Times New Roman" w:cs="Times New Roman" w:ascii="Calibri" w:hAnsi="Calibri"/>
          <w:b w:val="false"/>
          <w:color w:val="auto"/>
          <w:sz w:val="24"/>
          <w:szCs w:val="24"/>
          <w:shd w:fill="auto" w:val="clear"/>
          <w:lang w:val="pl-PL"/>
        </w:rPr>
        <w:t xml:space="preserve"> Złożenie wniosku do Prokuratury o ściganie za przestępstwo nie alimentacji –</w:t>
      </w:r>
      <w:r>
        <w:rPr>
          <w:rFonts w:eastAsia="Times New Roman" w:cs="Times New Roman" w:ascii="Calibri" w:hAnsi="Calibri"/>
          <w:b/>
          <w:color w:val="auto"/>
          <w:sz w:val="24"/>
          <w:szCs w:val="24"/>
          <w:shd w:fill="auto" w:val="clear"/>
          <w:lang w:val="pl-PL"/>
        </w:rPr>
        <w:t xml:space="preserve"> </w:t>
      </w:r>
      <w:r>
        <w:rPr>
          <w:rFonts w:eastAsia="Times New Roman" w:cs="Times New Roman" w:ascii="Calibri" w:hAnsi="Calibri"/>
          <w:b/>
          <w:color w:val="auto"/>
          <w:sz w:val="24"/>
          <w:szCs w:val="24"/>
          <w:shd w:fill="auto" w:val="clear"/>
          <w:lang w:val="pl-PL"/>
        </w:rPr>
        <w:t>6</w:t>
      </w:r>
      <w:r>
        <w:rPr>
          <w:rFonts w:eastAsia="Times New Roman" w:cs="Times New Roman" w:ascii="Calibri" w:hAnsi="Calibri"/>
          <w:b w:val="false"/>
          <w:color w:val="auto"/>
          <w:sz w:val="24"/>
          <w:szCs w:val="24"/>
          <w:shd w:fill="auto" w:val="clear"/>
          <w:lang w:val="pl-PL"/>
        </w:rPr>
        <w:t xml:space="preserve"> </w:t>
      </w:r>
      <w:r>
        <w:rPr>
          <w:rFonts w:eastAsia="Times New Roman" w:cs="Times New Roman" w:ascii="Calibri" w:hAnsi="Calibri"/>
          <w:b w:val="false"/>
          <w:color w:val="auto"/>
          <w:sz w:val="24"/>
          <w:szCs w:val="24"/>
          <w:shd w:fill="auto" w:val="clear"/>
          <w:lang w:val="pl-PL"/>
        </w:rPr>
        <w:t>wniosków</w:t>
      </w:r>
      <w:r>
        <w:rPr>
          <w:rFonts w:eastAsia="Times New Roman" w:cs="Times New Roman" w:ascii="Calibri" w:hAnsi="Calibri"/>
          <w:b w:val="false"/>
          <w:color w:val="auto"/>
          <w:sz w:val="24"/>
          <w:szCs w:val="24"/>
          <w:shd w:fill="auto" w:val="clear"/>
          <w:lang w:val="pl-PL"/>
        </w:rPr>
        <w:t xml:space="preserve">                                                                                         </w:t>
      </w:r>
    </w:p>
    <w:p>
      <w:pPr>
        <w:pStyle w:val="Normal"/>
        <w:spacing w:lineRule="auto" w:line="276"/>
        <w:jc w:val="both"/>
        <w:rPr>
          <w:rFonts w:ascii="Calibri" w:hAnsi="Calibri"/>
          <w:sz w:val="24"/>
          <w:szCs w:val="24"/>
          <w:lang w:val="pl-PL"/>
        </w:rPr>
      </w:pPr>
      <w:r>
        <w:rPr>
          <w:rFonts w:eastAsia="Times New Roman" w:cs="Times New Roman" w:ascii="Calibri" w:hAnsi="Calibri"/>
          <w:b w:val="false"/>
          <w:color w:val="auto"/>
          <w:sz w:val="24"/>
          <w:szCs w:val="24"/>
          <w:shd w:fill="auto" w:val="clear"/>
          <w:lang w:val="pl-PL"/>
        </w:rPr>
        <w:t xml:space="preserve">- wszczęcie dochodzenia – </w:t>
      </w:r>
      <w:r>
        <w:rPr>
          <w:rFonts w:eastAsia="Times New Roman" w:cs="Times New Roman" w:ascii="Calibri" w:hAnsi="Calibri"/>
          <w:b/>
          <w:color w:val="auto"/>
          <w:sz w:val="24"/>
          <w:szCs w:val="24"/>
          <w:shd w:fill="auto" w:val="clear"/>
          <w:lang w:val="pl-PL"/>
        </w:rPr>
        <w:t xml:space="preserve">4 </w:t>
      </w:r>
      <w:r>
        <w:rPr>
          <w:rFonts w:eastAsia="Times New Roman" w:cs="Times New Roman" w:ascii="Calibri" w:hAnsi="Calibri"/>
          <w:b w:val="false"/>
          <w:bCs w:val="false"/>
          <w:color w:val="auto"/>
          <w:sz w:val="24"/>
          <w:szCs w:val="24"/>
          <w:shd w:fill="auto" w:val="clear"/>
          <w:lang w:val="pl-PL"/>
        </w:rPr>
        <w:t>sprawy</w:t>
      </w:r>
      <w:r>
        <w:rPr>
          <w:rFonts w:eastAsia="Times New Roman" w:cs="Times New Roman" w:ascii="Calibri" w:hAnsi="Calibri"/>
          <w:b w:val="false"/>
          <w:bCs w:val="false"/>
          <w:color w:val="auto"/>
          <w:sz w:val="24"/>
          <w:szCs w:val="24"/>
          <w:shd w:fill="auto" w:val="clear"/>
          <w:lang w:val="pl-PL"/>
        </w:rPr>
        <w:t>,</w:t>
      </w:r>
    </w:p>
    <w:p>
      <w:pPr>
        <w:pStyle w:val="Normal"/>
        <w:spacing w:lineRule="auto" w:line="276"/>
        <w:jc w:val="both"/>
        <w:rPr>
          <w:rFonts w:ascii="Calibri" w:hAnsi="Calibri"/>
          <w:sz w:val="24"/>
          <w:szCs w:val="24"/>
          <w:lang w:val="pl-PL"/>
        </w:rPr>
      </w:pPr>
      <w:r>
        <w:rPr>
          <w:rFonts w:eastAsia="Times New Roman" w:cs="Times New Roman" w:ascii="Calibri" w:hAnsi="Calibri"/>
          <w:b w:val="false"/>
          <w:color w:val="auto"/>
          <w:sz w:val="24"/>
          <w:szCs w:val="24"/>
          <w:shd w:fill="auto" w:val="clear"/>
          <w:lang w:val="pl-PL"/>
        </w:rPr>
        <w:t xml:space="preserve">- wyrok skazujący – </w:t>
      </w:r>
      <w:r>
        <w:rPr>
          <w:rFonts w:eastAsia="Times New Roman" w:cs="Times New Roman" w:ascii="Calibri" w:hAnsi="Calibri"/>
          <w:b/>
          <w:color w:val="auto"/>
          <w:sz w:val="24"/>
          <w:szCs w:val="24"/>
          <w:shd w:fill="auto" w:val="clear"/>
          <w:lang w:val="pl-PL"/>
        </w:rPr>
        <w:t xml:space="preserve">18 </w:t>
      </w:r>
      <w:r>
        <w:rPr>
          <w:rFonts w:eastAsia="Times New Roman" w:cs="Times New Roman" w:ascii="Calibri" w:hAnsi="Calibri"/>
          <w:b w:val="false"/>
          <w:bCs w:val="false"/>
          <w:color w:val="auto"/>
          <w:sz w:val="24"/>
          <w:szCs w:val="24"/>
          <w:shd w:fill="auto" w:val="clear"/>
          <w:lang w:val="pl-PL"/>
        </w:rPr>
        <w:t>spraw</w:t>
      </w:r>
      <w:r>
        <w:rPr>
          <w:rFonts w:eastAsia="Times New Roman" w:cs="Times New Roman" w:ascii="Calibri" w:hAnsi="Calibri"/>
          <w:b w:val="false"/>
          <w:bCs w:val="false"/>
          <w:color w:val="auto"/>
          <w:sz w:val="24"/>
          <w:szCs w:val="24"/>
          <w:shd w:fill="auto" w:val="clear"/>
          <w:lang w:val="pl-PL"/>
        </w:rPr>
        <w:t>.</w:t>
      </w:r>
    </w:p>
    <w:p>
      <w:pPr>
        <w:pStyle w:val="Normal"/>
        <w:spacing w:lineRule="auto" w:line="276"/>
        <w:jc w:val="both"/>
        <w:rPr>
          <w:rFonts w:ascii="Calibri" w:hAnsi="Calibri"/>
          <w:sz w:val="24"/>
          <w:szCs w:val="24"/>
          <w:lang w:val="pl-PL"/>
        </w:rPr>
      </w:pPr>
      <w:r>
        <w:rPr>
          <w:rFonts w:eastAsia="Times New Roman" w:cs="Times New Roman" w:ascii="Calibri" w:hAnsi="Calibri"/>
          <w:b/>
          <w:bCs/>
          <w:color w:val="auto"/>
          <w:sz w:val="24"/>
          <w:szCs w:val="24"/>
          <w:shd w:fill="auto" w:val="clear"/>
          <w:lang w:val="pl-PL"/>
        </w:rPr>
        <w:t>6</w:t>
      </w:r>
      <w:r>
        <w:rPr>
          <w:rFonts w:eastAsia="Times New Roman" w:cs="Times New Roman" w:ascii="Calibri" w:hAnsi="Calibri"/>
          <w:b w:val="false"/>
          <w:color w:val="auto"/>
          <w:sz w:val="24"/>
          <w:szCs w:val="24"/>
          <w:shd w:fill="auto" w:val="clear"/>
          <w:lang w:val="pl-PL"/>
        </w:rPr>
        <w:t xml:space="preserve">. Złożenie wniosku do Starosty o zatrzymaniu prawa jazdy - </w:t>
      </w:r>
      <w:r>
        <w:rPr>
          <w:rFonts w:eastAsia="Times New Roman" w:cs="Times New Roman" w:ascii="Calibri" w:hAnsi="Calibri"/>
          <w:b/>
          <w:bCs/>
          <w:color w:val="auto"/>
          <w:sz w:val="24"/>
          <w:szCs w:val="24"/>
          <w:shd w:fill="auto" w:val="clear"/>
          <w:lang w:val="pl-PL"/>
        </w:rPr>
        <w:t>1</w:t>
      </w:r>
      <w:r>
        <w:rPr>
          <w:rFonts w:eastAsia="Times New Roman" w:cs="Times New Roman" w:ascii="Calibri" w:hAnsi="Calibri"/>
          <w:b w:val="false"/>
          <w:color w:val="auto"/>
          <w:sz w:val="24"/>
          <w:szCs w:val="24"/>
          <w:shd w:fill="auto" w:val="clear"/>
          <w:lang w:val="pl-PL"/>
        </w:rPr>
        <w:t xml:space="preserve"> wnios</w:t>
      </w:r>
      <w:r>
        <w:rPr>
          <w:rFonts w:eastAsia="Times New Roman" w:cs="Times New Roman" w:ascii="Calibri" w:hAnsi="Calibri"/>
          <w:b w:val="false"/>
          <w:color w:val="auto"/>
          <w:sz w:val="24"/>
          <w:szCs w:val="24"/>
          <w:shd w:fill="auto" w:val="clear"/>
          <w:lang w:val="pl-PL"/>
        </w:rPr>
        <w:t>ek</w:t>
      </w:r>
      <w:r>
        <w:rPr>
          <w:rFonts w:eastAsia="Times New Roman" w:cs="Times New Roman" w:ascii="Calibri" w:hAnsi="Calibri"/>
          <w:b w:val="false"/>
          <w:color w:val="auto"/>
          <w:sz w:val="24"/>
          <w:szCs w:val="24"/>
          <w:shd w:fill="auto" w:val="clear"/>
          <w:lang w:val="pl-PL"/>
        </w:rPr>
        <w:t>,</w:t>
      </w:r>
    </w:p>
    <w:p>
      <w:pPr>
        <w:pStyle w:val="Normal"/>
        <w:spacing w:lineRule="auto" w:line="276"/>
        <w:jc w:val="both"/>
        <w:rPr/>
      </w:pPr>
      <w:r>
        <w:rPr>
          <w:rFonts w:eastAsia="Times New Roman" w:cs="Times New Roman" w:ascii="Calibri" w:hAnsi="Calibri"/>
          <w:b w:val="false"/>
          <w:color w:val="auto"/>
          <w:sz w:val="24"/>
          <w:szCs w:val="24"/>
          <w:shd w:fill="auto" w:val="clear"/>
          <w:lang w:val="pl-PL"/>
        </w:rPr>
        <w:t>- wszczęcie postępowania –</w:t>
      </w:r>
      <w:r>
        <w:rPr>
          <w:rFonts w:eastAsia="Times New Roman" w:cs="Times New Roman" w:ascii="Calibri" w:hAnsi="Calibri"/>
          <w:b/>
          <w:color w:val="auto"/>
          <w:sz w:val="24"/>
          <w:szCs w:val="24"/>
          <w:shd w:fill="auto" w:val="clear"/>
          <w:lang w:val="pl-PL"/>
        </w:rPr>
        <w:t xml:space="preserve"> </w:t>
      </w:r>
      <w:r>
        <w:rPr>
          <w:rFonts w:eastAsia="Times New Roman" w:cs="Times New Roman" w:ascii="Calibri" w:hAnsi="Calibri"/>
          <w:b/>
          <w:color w:val="auto"/>
          <w:sz w:val="24"/>
          <w:szCs w:val="24"/>
          <w:shd w:fill="auto" w:val="clear"/>
          <w:lang w:val="pl-PL"/>
        </w:rPr>
        <w:t xml:space="preserve">1 </w:t>
      </w:r>
      <w:r>
        <w:rPr>
          <w:rFonts w:eastAsia="Times New Roman" w:cs="Times New Roman" w:ascii="Calibri" w:hAnsi="Calibri"/>
          <w:b w:val="false"/>
          <w:bCs w:val="false"/>
          <w:color w:val="auto"/>
          <w:sz w:val="24"/>
          <w:szCs w:val="24"/>
          <w:shd w:fill="auto" w:val="clear"/>
          <w:lang w:val="pl-PL"/>
        </w:rPr>
        <w:t>sprawa</w:t>
      </w:r>
      <w:r>
        <w:rPr>
          <w:rFonts w:eastAsia="Times New Roman" w:cs="Times New Roman" w:ascii="Calibri" w:hAnsi="Calibri"/>
          <w:b w:val="false"/>
          <w:bCs w:val="false"/>
          <w:color w:val="auto"/>
          <w:sz w:val="24"/>
          <w:szCs w:val="24"/>
          <w:shd w:fill="auto" w:val="clear"/>
          <w:lang w:val="pl-PL"/>
        </w:rPr>
        <w:t>,</w:t>
      </w:r>
    </w:p>
    <w:p>
      <w:pPr>
        <w:pStyle w:val="Normal"/>
        <w:spacing w:lineRule="auto" w:line="276"/>
        <w:jc w:val="both"/>
        <w:rPr/>
      </w:pPr>
      <w:r>
        <w:rPr>
          <w:rFonts w:eastAsia="Times New Roman" w:cs="Times New Roman" w:ascii="Calibri" w:hAnsi="Calibri"/>
          <w:b w:val="false"/>
          <w:color w:val="auto"/>
          <w:sz w:val="24"/>
          <w:szCs w:val="24"/>
          <w:shd w:fill="auto" w:val="clear"/>
          <w:lang w:val="pl-PL"/>
        </w:rPr>
        <w:t xml:space="preserve">- umorzenie postępowania – </w:t>
      </w:r>
      <w:r>
        <w:rPr>
          <w:rFonts w:eastAsia="Times New Roman" w:cs="Times New Roman" w:ascii="Calibri" w:hAnsi="Calibri"/>
          <w:b/>
          <w:color w:val="auto"/>
          <w:sz w:val="24"/>
          <w:szCs w:val="24"/>
          <w:shd w:fill="auto" w:val="clear"/>
          <w:lang w:val="pl-PL"/>
        </w:rPr>
        <w:t xml:space="preserve">1 </w:t>
      </w:r>
      <w:r>
        <w:rPr>
          <w:rFonts w:eastAsia="Times New Roman" w:cs="Times New Roman" w:ascii="Calibri" w:hAnsi="Calibri"/>
          <w:b w:val="false"/>
          <w:bCs w:val="false"/>
          <w:color w:val="auto"/>
          <w:sz w:val="24"/>
          <w:szCs w:val="24"/>
          <w:shd w:fill="auto" w:val="clear"/>
          <w:lang w:val="pl-PL"/>
        </w:rPr>
        <w:t>sprawa</w:t>
      </w:r>
      <w:r>
        <w:rPr>
          <w:rFonts w:eastAsia="Times New Roman" w:cs="Times New Roman" w:ascii="Calibri" w:hAnsi="Calibri"/>
          <w:b/>
          <w:bCs/>
          <w:color w:val="auto"/>
          <w:sz w:val="24"/>
          <w:szCs w:val="24"/>
          <w:shd w:fill="auto" w:val="clear"/>
          <w:lang w:val="pl-PL"/>
        </w:rPr>
        <w:t xml:space="preserve">,       </w:t>
      </w:r>
    </w:p>
    <w:p>
      <w:pPr>
        <w:pStyle w:val="Normal"/>
        <w:spacing w:lineRule="auto" w:line="276"/>
        <w:jc w:val="both"/>
        <w:rPr>
          <w:rFonts w:ascii="Calibri" w:hAnsi="Calibri"/>
          <w:sz w:val="24"/>
          <w:szCs w:val="24"/>
          <w:lang w:val="pl-PL"/>
        </w:rPr>
      </w:pPr>
      <w:r>
        <w:rPr>
          <w:rFonts w:eastAsia="Times New Roman" w:cs="Times New Roman" w:ascii="Calibri" w:hAnsi="Calibri"/>
          <w:b w:val="false"/>
          <w:color w:val="auto"/>
          <w:sz w:val="24"/>
          <w:szCs w:val="24"/>
          <w:shd w:fill="auto" w:val="clear"/>
          <w:lang w:val="pl-PL"/>
        </w:rPr>
        <w:t xml:space="preserve">- zatrzymanie prawa jazdy – </w:t>
      </w:r>
      <w:r>
        <w:rPr>
          <w:rFonts w:eastAsia="Times New Roman" w:cs="Times New Roman" w:ascii="Calibri" w:hAnsi="Calibri"/>
          <w:b/>
          <w:color w:val="auto"/>
          <w:sz w:val="24"/>
          <w:szCs w:val="24"/>
          <w:shd w:fill="auto" w:val="clear"/>
          <w:lang w:val="pl-PL"/>
        </w:rPr>
        <w:t xml:space="preserve">1 </w:t>
      </w:r>
      <w:r>
        <w:rPr>
          <w:rFonts w:eastAsia="Times New Roman" w:cs="Times New Roman" w:ascii="Calibri" w:hAnsi="Calibri"/>
          <w:b w:val="false"/>
          <w:bCs w:val="false"/>
          <w:color w:val="auto"/>
          <w:sz w:val="24"/>
          <w:szCs w:val="24"/>
          <w:shd w:fill="auto" w:val="clear"/>
          <w:lang w:val="pl-PL"/>
        </w:rPr>
        <w:t>sprawa</w:t>
      </w:r>
      <w:r>
        <w:rPr>
          <w:rFonts w:eastAsia="Times New Roman" w:cs="Times New Roman" w:ascii="Calibri" w:hAnsi="Calibri"/>
          <w:b w:val="false"/>
          <w:bCs w:val="false"/>
          <w:color w:val="auto"/>
          <w:sz w:val="24"/>
          <w:szCs w:val="24"/>
          <w:shd w:fill="auto" w:val="clear"/>
          <w:lang w:val="pl-PL"/>
        </w:rPr>
        <w:t>,</w:t>
      </w:r>
    </w:p>
    <w:p>
      <w:pPr>
        <w:pStyle w:val="Normal"/>
        <w:spacing w:lineRule="auto" w:line="276"/>
        <w:jc w:val="both"/>
        <w:rPr>
          <w:rFonts w:ascii="Calibri" w:hAnsi="Calibri"/>
          <w:sz w:val="24"/>
          <w:szCs w:val="24"/>
          <w:lang w:val="pl-PL"/>
        </w:rPr>
      </w:pPr>
      <w:r>
        <w:rPr>
          <w:rFonts w:eastAsia="Times New Roman" w:cs="Times New Roman" w:ascii="Calibri" w:hAnsi="Calibri"/>
          <w:b w:val="false"/>
          <w:color w:val="auto"/>
          <w:sz w:val="24"/>
          <w:szCs w:val="24"/>
          <w:shd w:fill="auto" w:val="clear"/>
          <w:lang w:val="pl-PL"/>
        </w:rPr>
        <w:t xml:space="preserve">- zwrot prawa jazdy – </w:t>
      </w:r>
      <w:r>
        <w:rPr>
          <w:rFonts w:eastAsia="Times New Roman" w:cs="Times New Roman" w:ascii="Calibri" w:hAnsi="Calibri"/>
          <w:b/>
          <w:color w:val="auto"/>
          <w:sz w:val="24"/>
          <w:szCs w:val="24"/>
          <w:shd w:fill="auto" w:val="clear"/>
          <w:lang w:val="pl-PL"/>
        </w:rPr>
        <w:t xml:space="preserve">10 </w:t>
      </w:r>
      <w:r>
        <w:rPr>
          <w:rFonts w:eastAsia="Times New Roman" w:cs="Times New Roman" w:ascii="Calibri" w:hAnsi="Calibri"/>
          <w:b w:val="false"/>
          <w:bCs w:val="false"/>
          <w:color w:val="auto"/>
          <w:sz w:val="24"/>
          <w:szCs w:val="24"/>
          <w:shd w:fill="auto" w:val="clear"/>
          <w:lang w:val="pl-PL"/>
        </w:rPr>
        <w:t>spraw</w:t>
      </w:r>
      <w:r>
        <w:rPr>
          <w:rFonts w:eastAsia="Times New Roman" w:cs="Times New Roman" w:ascii="Calibri" w:hAnsi="Calibri"/>
          <w:b/>
          <w:bCs/>
          <w:color w:val="auto"/>
          <w:sz w:val="24"/>
          <w:szCs w:val="24"/>
          <w:shd w:fill="auto" w:val="clear"/>
          <w:lang w:val="pl-PL"/>
        </w:rPr>
        <w:t>,</w:t>
        <w:tab/>
      </w:r>
      <w:r>
        <w:rPr>
          <w:rFonts w:eastAsia="Times New Roman" w:cs="Times New Roman" w:ascii="Calibri" w:hAnsi="Calibri"/>
          <w:b w:val="false"/>
          <w:color w:val="auto"/>
          <w:sz w:val="24"/>
          <w:szCs w:val="24"/>
          <w:shd w:fill="auto" w:val="clear"/>
          <w:lang w:val="pl-PL"/>
        </w:rPr>
        <w:tab/>
        <w:tab/>
        <w:tab/>
        <w:t xml:space="preserve">                                              </w:t>
        <w:tab/>
        <w:tab/>
        <w:t xml:space="preserve">     </w:t>
      </w:r>
    </w:p>
    <w:p>
      <w:pPr>
        <w:pStyle w:val="Normal"/>
        <w:spacing w:lineRule="auto" w:line="276"/>
        <w:jc w:val="both"/>
        <w:rPr>
          <w:rFonts w:ascii="Calibri" w:hAnsi="Calibri" w:eastAsia="Times New Roman" w:cs="Times New Roman"/>
          <w:b w:val="false"/>
          <w:color w:val="auto"/>
          <w:sz w:val="24"/>
          <w:szCs w:val="24"/>
          <w:shd w:fill="auto" w:val="clear"/>
          <w:lang w:val="pl-PL"/>
        </w:rPr>
      </w:pPr>
      <w:r>
        <w:rPr>
          <w:rFonts w:eastAsia="Times New Roman" w:cs="Times New Roman" w:ascii="Calibri" w:hAnsi="Calibri"/>
          <w:b/>
          <w:bCs/>
          <w:color w:val="auto"/>
          <w:sz w:val="24"/>
          <w:szCs w:val="24"/>
          <w:shd w:fill="auto" w:val="clear"/>
          <w:lang w:val="pl-PL"/>
        </w:rPr>
        <w:t>7</w:t>
      </w:r>
      <w:r>
        <w:rPr>
          <w:rFonts w:eastAsia="Times New Roman" w:cs="Times New Roman" w:ascii="Calibri" w:hAnsi="Calibri"/>
          <w:b/>
          <w:bCs/>
          <w:color w:val="auto"/>
          <w:sz w:val="24"/>
          <w:szCs w:val="24"/>
          <w:shd w:fill="auto" w:val="clear"/>
          <w:lang w:val="pl-PL"/>
        </w:rPr>
        <w:t>.</w:t>
      </w:r>
      <w:r>
        <w:rPr>
          <w:rFonts w:eastAsia="Times New Roman" w:cs="Times New Roman" w:ascii="Calibri" w:hAnsi="Calibri"/>
          <w:b w:val="false"/>
          <w:color w:val="auto"/>
          <w:sz w:val="24"/>
          <w:szCs w:val="24"/>
          <w:shd w:fill="auto" w:val="clear"/>
          <w:lang w:val="pl-PL"/>
        </w:rPr>
        <w:t xml:space="preserve"> Przekazanie do biura informacji gospodarczej informacji o zobowiązaniach dłużnika</w:t>
      </w:r>
    </w:p>
    <w:p>
      <w:pPr>
        <w:pStyle w:val="Normal"/>
        <w:spacing w:lineRule="auto" w:line="276"/>
        <w:jc w:val="both"/>
        <w:rPr>
          <w:rFonts w:ascii="Calibri" w:hAnsi="Calibri"/>
          <w:sz w:val="24"/>
          <w:szCs w:val="24"/>
          <w:lang w:val="pl-PL"/>
        </w:rPr>
      </w:pPr>
      <w:r>
        <w:rPr>
          <w:rFonts w:eastAsia="Times New Roman" w:cs="Times New Roman" w:ascii="Calibri" w:hAnsi="Calibri"/>
          <w:b w:val="false"/>
          <w:color w:val="auto"/>
          <w:sz w:val="24"/>
          <w:szCs w:val="24"/>
          <w:shd w:fill="auto" w:val="clear"/>
          <w:lang w:val="pl-PL"/>
        </w:rPr>
        <w:t xml:space="preserve">      </w:t>
      </w:r>
      <w:r>
        <w:rPr>
          <w:rFonts w:eastAsia="Times New Roman" w:cs="Times New Roman" w:ascii="Calibri" w:hAnsi="Calibri"/>
          <w:b w:val="false"/>
          <w:color w:val="auto"/>
          <w:sz w:val="24"/>
          <w:szCs w:val="24"/>
          <w:shd w:fill="auto" w:val="clear"/>
          <w:lang w:val="pl-PL"/>
        </w:rPr>
        <w:t xml:space="preserve">alimentacyjnego – </w:t>
      </w:r>
      <w:r>
        <w:rPr>
          <w:rFonts w:eastAsia="Times New Roman" w:cs="Times New Roman" w:ascii="Calibri" w:hAnsi="Calibri"/>
          <w:b/>
          <w:color w:val="auto"/>
          <w:sz w:val="24"/>
          <w:szCs w:val="24"/>
          <w:shd w:fill="auto" w:val="clear"/>
          <w:lang w:val="pl-PL"/>
        </w:rPr>
        <w:t>1</w:t>
      </w:r>
      <w:r>
        <w:rPr>
          <w:rFonts w:eastAsia="Times New Roman" w:cs="Times New Roman" w:ascii="Calibri" w:hAnsi="Calibri"/>
          <w:b/>
          <w:color w:val="auto"/>
          <w:sz w:val="24"/>
          <w:szCs w:val="24"/>
          <w:shd w:fill="auto" w:val="clear"/>
          <w:lang w:val="pl-PL"/>
        </w:rPr>
        <w:t>3</w:t>
      </w:r>
      <w:r>
        <w:rPr>
          <w:rFonts w:eastAsia="Times New Roman" w:cs="Times New Roman" w:ascii="Calibri" w:hAnsi="Calibri"/>
          <w:b/>
          <w:color w:val="auto"/>
          <w:sz w:val="24"/>
          <w:szCs w:val="24"/>
          <w:shd w:fill="auto" w:val="clear"/>
          <w:lang w:val="pl-PL"/>
        </w:rPr>
        <w:t>.</w:t>
      </w:r>
      <w:r>
        <w:rPr>
          <w:rFonts w:eastAsia="Times New Roman" w:cs="Times New Roman" w:ascii="Calibri" w:hAnsi="Calibri"/>
          <w:b/>
          <w:color w:val="auto"/>
          <w:sz w:val="24"/>
          <w:szCs w:val="24"/>
          <w:shd w:fill="auto" w:val="clear"/>
          <w:lang w:val="pl-PL"/>
        </w:rPr>
        <w:t>014</w:t>
      </w:r>
      <w:r>
        <w:rPr>
          <w:rFonts w:eastAsia="Times New Roman" w:cs="Times New Roman" w:ascii="Calibri" w:hAnsi="Calibri"/>
          <w:b w:val="false"/>
          <w:color w:val="auto"/>
          <w:sz w:val="24"/>
          <w:szCs w:val="24"/>
          <w:shd w:fill="auto" w:val="clear"/>
          <w:lang w:val="pl-PL"/>
        </w:rPr>
        <w:t xml:space="preserve">  informacji.</w:t>
      </w:r>
    </w:p>
    <w:p>
      <w:pPr>
        <w:pStyle w:val="Normal"/>
        <w:spacing w:lineRule="auto" w:line="276"/>
        <w:jc w:val="both"/>
        <w:rPr>
          <w:rFonts w:ascii="Calibri" w:hAnsi="Calibri"/>
          <w:sz w:val="24"/>
          <w:szCs w:val="24"/>
          <w:lang w:val="pl-PL"/>
        </w:rPr>
      </w:pPr>
      <w:r>
        <w:rPr>
          <w:rFonts w:eastAsia="Times New Roman" w:cs="Times New Roman" w:ascii="Calibri" w:hAnsi="Calibri"/>
          <w:b/>
          <w:bCs/>
          <w:color w:val="auto"/>
          <w:sz w:val="24"/>
          <w:szCs w:val="24"/>
          <w:shd w:fill="auto" w:val="clear"/>
          <w:lang w:val="pl-PL"/>
        </w:rPr>
        <w:t>8</w:t>
      </w:r>
      <w:r>
        <w:rPr>
          <w:rFonts w:eastAsia="Times New Roman" w:cs="Times New Roman" w:ascii="Calibri" w:hAnsi="Calibri"/>
          <w:b/>
          <w:bCs/>
          <w:color w:val="auto"/>
          <w:sz w:val="24"/>
          <w:szCs w:val="24"/>
          <w:shd w:fill="auto" w:val="clear"/>
          <w:lang w:val="pl-PL"/>
        </w:rPr>
        <w:t>.</w:t>
      </w:r>
      <w:r>
        <w:rPr>
          <w:rFonts w:eastAsia="Times New Roman" w:cs="Times New Roman" w:ascii="Calibri" w:hAnsi="Calibri"/>
          <w:b w:val="false"/>
          <w:color w:val="auto"/>
          <w:sz w:val="24"/>
          <w:szCs w:val="24"/>
          <w:shd w:fill="auto" w:val="clear"/>
          <w:lang w:val="pl-PL"/>
        </w:rPr>
        <w:t xml:space="preserve"> Zgony – </w:t>
      </w:r>
      <w:r>
        <w:rPr>
          <w:rFonts w:eastAsia="Times New Roman" w:cs="Times New Roman" w:ascii="Calibri" w:hAnsi="Calibri"/>
          <w:b/>
          <w:color w:val="auto"/>
          <w:sz w:val="24"/>
          <w:szCs w:val="24"/>
          <w:shd w:fill="auto" w:val="clear"/>
          <w:lang w:val="pl-PL"/>
        </w:rPr>
        <w:t>2</w:t>
      </w:r>
      <w:r>
        <w:rPr>
          <w:rFonts w:eastAsia="Times New Roman" w:cs="Times New Roman" w:ascii="Calibri" w:hAnsi="Calibri"/>
          <w:b/>
          <w:color w:val="auto"/>
          <w:sz w:val="24"/>
          <w:szCs w:val="24"/>
          <w:shd w:fill="auto" w:val="clear"/>
          <w:lang w:val="pl-PL"/>
        </w:rPr>
        <w:t xml:space="preserve">3 </w:t>
      </w:r>
      <w:r>
        <w:rPr>
          <w:rFonts w:eastAsia="Times New Roman" w:cs="Times New Roman" w:ascii="Calibri" w:hAnsi="Calibri"/>
          <w:b w:val="false"/>
          <w:color w:val="auto"/>
          <w:sz w:val="24"/>
          <w:szCs w:val="24"/>
          <w:shd w:fill="auto" w:val="clear"/>
          <w:lang w:val="pl-PL"/>
        </w:rPr>
        <w:t>spraw</w:t>
      </w:r>
      <w:r>
        <w:rPr>
          <w:rFonts w:eastAsia="Times New Roman" w:cs="Times New Roman" w:ascii="Calibri" w:hAnsi="Calibri"/>
          <w:b w:val="false"/>
          <w:color w:val="auto"/>
          <w:sz w:val="24"/>
          <w:szCs w:val="24"/>
          <w:shd w:fill="auto" w:val="clear"/>
          <w:lang w:val="pl-PL"/>
        </w:rPr>
        <w:t>y</w:t>
      </w:r>
      <w:r>
        <w:rPr>
          <w:rFonts w:eastAsia="Times New Roman" w:cs="Times New Roman" w:ascii="Calibri" w:hAnsi="Calibri"/>
          <w:b w:val="false"/>
          <w:color w:val="auto"/>
          <w:sz w:val="24"/>
          <w:szCs w:val="24"/>
          <w:shd w:fill="auto" w:val="clear"/>
          <w:lang w:val="pl-PL"/>
        </w:rPr>
        <w:t>.</w:t>
      </w:r>
    </w:p>
    <w:p>
      <w:pPr>
        <w:pStyle w:val="Normal"/>
        <w:spacing w:lineRule="auto" w:line="276"/>
        <w:rPr/>
      </w:pPr>
      <w:r>
        <w:rPr>
          <w:rStyle w:val="Domylnaczcionkaakapitu"/>
          <w:rFonts w:eastAsia="Times New Roman" w:cs="Times New Roman" w:ascii="Calibri" w:hAnsi="Calibri"/>
          <w:b/>
          <w:bCs/>
          <w:color w:val="auto"/>
          <w:sz w:val="24"/>
          <w:szCs w:val="24"/>
          <w:shd w:fill="auto" w:val="clear"/>
          <w:lang w:val="pl-PL"/>
        </w:rPr>
        <w:t>9</w:t>
      </w:r>
      <w:r>
        <w:rPr>
          <w:rStyle w:val="Domylnaczcionkaakapitu"/>
          <w:rFonts w:eastAsia="Times New Roman" w:cs="Times New Roman" w:ascii="Calibri" w:hAnsi="Calibri"/>
          <w:b/>
          <w:bCs/>
          <w:color w:val="auto"/>
          <w:sz w:val="24"/>
          <w:szCs w:val="24"/>
          <w:shd w:fill="auto" w:val="clear"/>
          <w:lang w:val="pl-PL"/>
        </w:rPr>
        <w:t>.</w:t>
      </w:r>
      <w:r>
        <w:rPr>
          <w:rStyle w:val="Domylnaczcionkaakapitu"/>
          <w:rFonts w:eastAsia="Times New Roman" w:cs="Times New Roman" w:ascii="Calibri" w:hAnsi="Calibri"/>
          <w:b w:val="false"/>
          <w:bCs/>
          <w:color w:val="auto"/>
          <w:sz w:val="24"/>
          <w:szCs w:val="24"/>
          <w:shd w:fill="auto" w:val="clear"/>
          <w:lang w:val="pl-PL"/>
        </w:rPr>
        <w:t xml:space="preserve"> Dłużnicy z zagranicy – </w:t>
      </w:r>
      <w:r>
        <w:rPr>
          <w:rStyle w:val="Domylnaczcionkaakapitu"/>
          <w:rFonts w:eastAsia="Times New Roman" w:cs="Times New Roman" w:ascii="Calibri" w:hAnsi="Calibri"/>
          <w:b/>
          <w:bCs/>
          <w:color w:val="auto"/>
          <w:sz w:val="24"/>
          <w:szCs w:val="24"/>
          <w:shd w:fill="auto" w:val="clear"/>
          <w:lang w:val="pl-PL"/>
        </w:rPr>
        <w:t>8</w:t>
      </w:r>
      <w:r>
        <w:rPr>
          <w:rStyle w:val="Domylnaczcionkaakapitu"/>
          <w:rFonts w:eastAsia="Times New Roman" w:cs="Times New Roman" w:ascii="Calibri" w:hAnsi="Calibri"/>
          <w:b/>
          <w:bCs/>
          <w:color w:val="auto"/>
          <w:sz w:val="24"/>
          <w:szCs w:val="24"/>
          <w:shd w:fill="auto" w:val="clear"/>
          <w:lang w:val="pl-PL"/>
        </w:rPr>
        <w:t xml:space="preserve"> </w:t>
      </w:r>
      <w:r>
        <w:rPr>
          <w:rStyle w:val="Domylnaczcionkaakapitu"/>
          <w:rFonts w:eastAsia="Times New Roman" w:cs="Times New Roman" w:ascii="Calibri" w:hAnsi="Calibri"/>
          <w:b w:val="false"/>
          <w:bCs/>
          <w:color w:val="auto"/>
          <w:sz w:val="24"/>
          <w:szCs w:val="24"/>
          <w:shd w:fill="auto" w:val="clear"/>
          <w:lang w:val="pl-PL"/>
        </w:rPr>
        <w:t>spraw.</w:t>
      </w:r>
      <w:r>
        <w:rPr>
          <w:rStyle w:val="Domylnaczcionkaakapitu"/>
          <w:rFonts w:eastAsia="Times New Roman" w:cs="Times New Roman" w:ascii="Calibri" w:hAnsi="Calibri"/>
          <w:b/>
          <w:bCs/>
        </w:rPr>
        <w:t xml:space="preserve"> </w:t>
      </w:r>
    </w:p>
    <w:p>
      <w:pPr>
        <w:pStyle w:val="Normal"/>
        <w:spacing w:lineRule="auto" w:line="276"/>
        <w:rPr>
          <w:rFonts w:ascii="Calibri" w:hAnsi="Calibri" w:eastAsia="Times New Roman" w:cs="Times New Roman"/>
        </w:rPr>
      </w:pPr>
      <w:r>
        <w:rPr>
          <w:rFonts w:eastAsia="Times New Roman" w:cs="Times New Roman" w:ascii="Calibri" w:hAnsi="Calibri"/>
        </w:rPr>
      </w:r>
    </w:p>
    <w:p>
      <w:pPr>
        <w:pStyle w:val="Normal"/>
        <w:spacing w:lineRule="auto" w:line="276"/>
        <w:rPr/>
      </w:pPr>
      <w:r>
        <w:rPr>
          <w:rStyle w:val="Domylnaczcionkaakapitu"/>
          <w:rFonts w:eastAsia="Times New Roman" w:cs="Times New Roman" w:ascii="Calibri" w:hAnsi="Calibri"/>
        </w:rPr>
        <w:tab/>
        <w:t xml:space="preserve">Miejski Ośrodek Pomocy Społecznej w Tomaszowie Mazowieckim od 1 stycznia 2025 r.          do 31 grudnia 2025 r. </w:t>
      </w:r>
      <w:r>
        <w:rPr>
          <w:rStyle w:val="Domylnaczcionkaakapitu"/>
          <w:rFonts w:eastAsia="Times New Roman" w:cs="Times New Roman" w:ascii="Calibri" w:hAnsi="Calibri"/>
          <w:b/>
          <w:bCs/>
        </w:rPr>
        <w:tab/>
      </w:r>
      <w:r>
        <w:rPr>
          <w:rStyle w:val="Domylnaczcionkaakapitu"/>
          <w:rFonts w:eastAsia="Times New Roman" w:cs="Times New Roman" w:ascii="Calibri" w:hAnsi="Calibri"/>
        </w:rPr>
        <w:t xml:space="preserve">przyjął  </w:t>
      </w:r>
      <w:r>
        <w:rPr>
          <w:rStyle w:val="Domylnaczcionkaakapitu"/>
          <w:rFonts w:eastAsia="Times New Roman" w:cs="Times New Roman" w:ascii="Calibri" w:hAnsi="Calibri"/>
          <w:b/>
        </w:rPr>
        <w:t xml:space="preserve">2 846 wniosków  świadczeniobiorców:                                                                                                       </w:t>
      </w:r>
    </w:p>
    <w:p>
      <w:pPr>
        <w:pStyle w:val="Normal"/>
        <w:spacing w:lineRule="auto" w:line="276"/>
        <w:rPr>
          <w:rFonts w:ascii="Calibri" w:hAnsi="Calibri" w:eastAsia="Times New Roman" w:cs="Times New Roman"/>
        </w:rPr>
      </w:pPr>
      <w:r>
        <w:rPr>
          <w:rFonts w:eastAsia="Times New Roman" w:cs="Times New Roman" w:ascii="Calibri" w:hAnsi="Calibri"/>
        </w:rPr>
        <w:t xml:space="preserve">                                            </w:t>
      </w:r>
    </w:p>
    <w:tbl>
      <w:tblPr>
        <w:tblW w:w="9638" w:type="dxa"/>
        <w:jc w:val="start"/>
        <w:tblInd w:w="-5" w:type="dxa"/>
        <w:tblLayout w:type="fixed"/>
        <w:tblCellMar>
          <w:top w:w="55" w:type="dxa"/>
          <w:start w:w="55" w:type="dxa"/>
          <w:bottom w:w="55" w:type="dxa"/>
          <w:end w:w="55" w:type="dxa"/>
        </w:tblCellMar>
      </w:tblPr>
      <w:tblGrid>
        <w:gridCol w:w="4819"/>
        <w:gridCol w:w="4819"/>
      </w:tblGrid>
      <w:tr>
        <w:trPr/>
        <w:tc>
          <w:tcPr>
            <w:tcW w:w="4819" w:type="dxa"/>
            <w:tcBorders>
              <w:top w:val="single" w:sz="4" w:space="0" w:color="000000"/>
              <w:start w:val="single" w:sz="4" w:space="0" w:color="000000"/>
              <w:bottom w:val="single" w:sz="4" w:space="0" w:color="000000"/>
            </w:tcBorders>
            <w:shd w:fill="FF8000" w:val="clear"/>
            <w:vAlign w:val="center"/>
          </w:tcPr>
          <w:p>
            <w:pPr>
              <w:pStyle w:val="Zawartotabeli"/>
              <w:jc w:val="center"/>
              <w:rPr>
                <w:rFonts w:ascii="Calibri" w:hAnsi="Calibri"/>
                <w:b/>
                <w:bCs/>
                <w:i/>
                <w:iCs/>
              </w:rPr>
            </w:pPr>
            <w:r>
              <w:rPr>
                <w:rFonts w:ascii="Calibri" w:hAnsi="Calibri"/>
                <w:b/>
                <w:bCs/>
                <w:i/>
                <w:iCs/>
              </w:rPr>
              <w:t>Rodzaj wniosków</w:t>
            </w:r>
          </w:p>
        </w:tc>
        <w:tc>
          <w:tcPr>
            <w:tcW w:w="4819" w:type="dxa"/>
            <w:tcBorders>
              <w:top w:val="single" w:sz="4" w:space="0" w:color="000000"/>
              <w:start w:val="single" w:sz="4" w:space="0" w:color="000000"/>
              <w:bottom w:val="single" w:sz="4" w:space="0" w:color="000000"/>
              <w:end w:val="single" w:sz="4" w:space="0" w:color="000000"/>
            </w:tcBorders>
            <w:shd w:fill="FF8000" w:val="clear"/>
            <w:vAlign w:val="center"/>
          </w:tcPr>
          <w:p>
            <w:pPr>
              <w:pStyle w:val="Zawartotabeli"/>
              <w:jc w:val="center"/>
              <w:rPr>
                <w:rFonts w:ascii="Calibri" w:hAnsi="Calibri"/>
                <w:b/>
                <w:bCs/>
                <w:i/>
                <w:iCs/>
              </w:rPr>
            </w:pPr>
            <w:r>
              <w:rPr>
                <w:rFonts w:ascii="Calibri" w:hAnsi="Calibri"/>
                <w:b/>
                <w:bCs/>
                <w:i/>
                <w:iCs/>
              </w:rPr>
              <w:t>Ilość wniosków</w:t>
            </w:r>
          </w:p>
        </w:tc>
      </w:tr>
      <w:tr>
        <w:trPr/>
        <w:tc>
          <w:tcPr>
            <w:tcW w:w="4819" w:type="dxa"/>
            <w:tcBorders>
              <w:start w:val="single" w:sz="4" w:space="0" w:color="000000"/>
              <w:bottom w:val="single" w:sz="4" w:space="0" w:color="000000"/>
            </w:tcBorders>
            <w:shd w:fill="FFFF00" w:val="clear"/>
            <w:vAlign w:val="center"/>
          </w:tcPr>
          <w:p>
            <w:pPr>
              <w:pStyle w:val="Normal"/>
              <w:spacing w:lineRule="auto" w:line="276"/>
              <w:jc w:val="center"/>
              <w:rPr>
                <w:rFonts w:ascii="Calibri" w:hAnsi="Calibri" w:eastAsia="Times New Roman" w:cs="Times New Roman"/>
              </w:rPr>
            </w:pPr>
            <w:r>
              <w:rPr>
                <w:rFonts w:eastAsia="Times New Roman" w:cs="Times New Roman" w:ascii="Calibri" w:hAnsi="Calibri"/>
              </w:rPr>
              <w:t>dotyczących świadczeń rodzinnych</w:t>
            </w:r>
          </w:p>
        </w:tc>
        <w:tc>
          <w:tcPr>
            <w:tcW w:w="4819" w:type="dxa"/>
            <w:tcBorders>
              <w:start w:val="single" w:sz="4" w:space="0" w:color="000000"/>
              <w:bottom w:val="single" w:sz="4" w:space="0" w:color="000000"/>
              <w:end w:val="single" w:sz="4" w:space="0" w:color="000000"/>
            </w:tcBorders>
            <w:shd w:fill="81D41A" w:val="clear"/>
            <w:vAlign w:val="center"/>
          </w:tcPr>
          <w:p>
            <w:pPr>
              <w:pStyle w:val="Normal"/>
              <w:spacing w:lineRule="auto" w:line="276"/>
              <w:jc w:val="center"/>
              <w:rPr/>
            </w:pPr>
            <w:r>
              <w:rPr>
                <w:rStyle w:val="Domylnaczcionkaakapitu"/>
                <w:rFonts w:eastAsia="Times New Roman" w:cs="Times New Roman" w:ascii="Calibri" w:hAnsi="Calibri"/>
                <w:b/>
                <w:bCs/>
              </w:rPr>
              <w:t>2 345</w:t>
            </w:r>
          </w:p>
        </w:tc>
      </w:tr>
      <w:tr>
        <w:trPr/>
        <w:tc>
          <w:tcPr>
            <w:tcW w:w="4819" w:type="dxa"/>
            <w:tcBorders>
              <w:start w:val="single" w:sz="4" w:space="0" w:color="000000"/>
              <w:bottom w:val="single" w:sz="4" w:space="0" w:color="000000"/>
            </w:tcBorders>
            <w:shd w:fill="FFFF00" w:val="clear"/>
            <w:vAlign w:val="center"/>
          </w:tcPr>
          <w:p>
            <w:pPr>
              <w:pStyle w:val="Normal"/>
              <w:spacing w:lineRule="auto" w:line="276"/>
              <w:jc w:val="center"/>
              <w:rPr>
                <w:rFonts w:ascii="Calibri" w:hAnsi="Calibri" w:eastAsia="Times New Roman" w:cs="Times New Roman"/>
              </w:rPr>
            </w:pPr>
            <w:r>
              <w:rPr>
                <w:rFonts w:eastAsia="Times New Roman" w:cs="Times New Roman" w:ascii="Calibri" w:hAnsi="Calibri"/>
              </w:rPr>
              <w:t>dotyczących świadczeń z funduszu alimentacyjnego</w:t>
            </w:r>
          </w:p>
        </w:tc>
        <w:tc>
          <w:tcPr>
            <w:tcW w:w="4819" w:type="dxa"/>
            <w:tcBorders>
              <w:start w:val="single" w:sz="4" w:space="0" w:color="000000"/>
              <w:bottom w:val="single" w:sz="4" w:space="0" w:color="000000"/>
              <w:end w:val="single" w:sz="4" w:space="0" w:color="000000"/>
            </w:tcBorders>
            <w:shd w:fill="81D41A" w:val="clear"/>
            <w:vAlign w:val="center"/>
          </w:tcPr>
          <w:p>
            <w:pPr>
              <w:pStyle w:val="Normal"/>
              <w:spacing w:lineRule="auto" w:line="276"/>
              <w:jc w:val="center"/>
              <w:rPr>
                <w:rFonts w:ascii="Calibri" w:hAnsi="Calibri" w:eastAsia="Times New Roman" w:cs="Times New Roman"/>
                <w:b/>
                <w:bCs/>
              </w:rPr>
            </w:pPr>
            <w:r>
              <w:rPr>
                <w:rFonts w:eastAsia="Times New Roman" w:cs="Times New Roman" w:ascii="Calibri" w:hAnsi="Calibri"/>
                <w:b/>
                <w:bCs/>
              </w:rPr>
              <w:t>501</w:t>
            </w:r>
          </w:p>
        </w:tc>
      </w:tr>
    </w:tbl>
    <w:p>
      <w:pPr>
        <w:pStyle w:val="Normal"/>
        <w:spacing w:lineRule="auto" w:line="276"/>
        <w:rPr>
          <w:rFonts w:ascii="Calibri" w:hAnsi="Calibri" w:eastAsia="Times New Roman" w:cs="Times New Roman"/>
          <w:b/>
        </w:rPr>
      </w:pPr>
      <w:r>
        <w:rPr>
          <w:rFonts w:eastAsia="Times New Roman" w:cs="Times New Roman" w:ascii="Calibri" w:hAnsi="Calibri"/>
          <w:b/>
        </w:rPr>
      </w:r>
      <w:r>
        <w:br w:type="page"/>
      </w:r>
    </w:p>
    <w:p>
      <w:pPr>
        <w:pStyle w:val="Normal"/>
        <w:spacing w:lineRule="auto" w:line="276"/>
        <w:rPr/>
      </w:pPr>
      <w:r>
        <w:rPr>
          <w:rStyle w:val="Domylnaczcionkaakapitu"/>
          <w:rFonts w:eastAsia="Times New Roman" w:cs="Times New Roman" w:ascii="Calibri" w:hAnsi="Calibri"/>
          <w:b/>
        </w:rPr>
        <w:t xml:space="preserve">Wydane zostały decyzje administracyjne </w:t>
      </w:r>
      <w:r>
        <w:rPr>
          <w:rStyle w:val="Domylnaczcionkaakapitu"/>
          <w:rFonts w:eastAsia="Times New Roman" w:cs="Times New Roman" w:ascii="Calibri" w:hAnsi="Calibri"/>
        </w:rPr>
        <w:t>w sprawach:</w:t>
      </w:r>
    </w:p>
    <w:p>
      <w:pPr>
        <w:pStyle w:val="Normal"/>
        <w:spacing w:lineRule="auto" w:line="276"/>
        <w:rPr>
          <w:rFonts w:ascii="Calibri" w:hAnsi="Calibri" w:eastAsia="Times New Roman" w:cs="Times New Roman"/>
        </w:rPr>
      </w:pPr>
      <w:r>
        <w:rPr>
          <w:rFonts w:eastAsia="Times New Roman" w:cs="Times New Roman" w:ascii="Calibri" w:hAnsi="Calibri"/>
        </w:rPr>
      </w:r>
    </w:p>
    <w:tbl>
      <w:tblPr>
        <w:tblW w:w="9638" w:type="dxa"/>
        <w:jc w:val="start"/>
        <w:tblInd w:w="-5" w:type="dxa"/>
        <w:tblLayout w:type="fixed"/>
        <w:tblCellMar>
          <w:top w:w="55" w:type="dxa"/>
          <w:start w:w="55" w:type="dxa"/>
          <w:bottom w:w="55" w:type="dxa"/>
          <w:end w:w="55" w:type="dxa"/>
        </w:tblCellMar>
      </w:tblPr>
      <w:tblGrid>
        <w:gridCol w:w="4819"/>
        <w:gridCol w:w="4819"/>
      </w:tblGrid>
      <w:tr>
        <w:trPr/>
        <w:tc>
          <w:tcPr>
            <w:tcW w:w="4819" w:type="dxa"/>
            <w:tcBorders>
              <w:top w:val="single" w:sz="4" w:space="0" w:color="000000"/>
              <w:start w:val="single" w:sz="4" w:space="0" w:color="000000"/>
              <w:bottom w:val="single" w:sz="4" w:space="0" w:color="000000"/>
            </w:tcBorders>
            <w:shd w:fill="FF8000" w:val="clear"/>
            <w:vAlign w:val="center"/>
          </w:tcPr>
          <w:p>
            <w:pPr>
              <w:pStyle w:val="Zawartotabeli"/>
              <w:jc w:val="center"/>
              <w:rPr>
                <w:rFonts w:ascii="Calibri" w:hAnsi="Calibri" w:eastAsia="Times New Roman" w:cs="Times New Roman"/>
                <w:b/>
                <w:bCs/>
                <w:i/>
                <w:iCs/>
              </w:rPr>
            </w:pPr>
            <w:r>
              <w:rPr>
                <w:rFonts w:eastAsia="Times New Roman" w:cs="Times New Roman" w:ascii="Calibri" w:hAnsi="Calibri"/>
                <w:b/>
                <w:bCs/>
                <w:i/>
                <w:iCs/>
              </w:rPr>
              <w:t>Rodzaj  decyzji</w:t>
            </w:r>
          </w:p>
        </w:tc>
        <w:tc>
          <w:tcPr>
            <w:tcW w:w="4819" w:type="dxa"/>
            <w:tcBorders>
              <w:top w:val="single" w:sz="4" w:space="0" w:color="000000"/>
              <w:start w:val="single" w:sz="4" w:space="0" w:color="000000"/>
              <w:bottom w:val="single" w:sz="4" w:space="0" w:color="000000"/>
              <w:end w:val="single" w:sz="4" w:space="0" w:color="000000"/>
            </w:tcBorders>
            <w:shd w:fill="FF8000" w:val="clear"/>
            <w:vAlign w:val="center"/>
          </w:tcPr>
          <w:p>
            <w:pPr>
              <w:pStyle w:val="Zawartotabeli"/>
              <w:jc w:val="center"/>
              <w:rPr>
                <w:rFonts w:ascii="Calibri" w:hAnsi="Calibri" w:eastAsia="Times New Roman" w:cs="Times New Roman"/>
                <w:b/>
                <w:bCs/>
                <w:i/>
                <w:iCs/>
              </w:rPr>
            </w:pPr>
            <w:r>
              <w:rPr>
                <w:rFonts w:eastAsia="Times New Roman" w:cs="Times New Roman" w:ascii="Calibri" w:hAnsi="Calibri"/>
                <w:b/>
                <w:bCs/>
                <w:i/>
                <w:iCs/>
              </w:rPr>
              <w:t>Ilość  decyzji</w:t>
            </w:r>
          </w:p>
        </w:tc>
      </w:tr>
      <w:tr>
        <w:trPr/>
        <w:tc>
          <w:tcPr>
            <w:tcW w:w="4819" w:type="dxa"/>
            <w:tcBorders>
              <w:start w:val="single" w:sz="4" w:space="0" w:color="000000"/>
              <w:bottom w:val="single" w:sz="4" w:space="0" w:color="000000"/>
            </w:tcBorders>
            <w:shd w:fill="FFFF00" w:val="clear"/>
            <w:vAlign w:val="center"/>
          </w:tcPr>
          <w:p>
            <w:pPr>
              <w:pStyle w:val="Normal"/>
              <w:spacing w:lineRule="auto" w:line="276"/>
              <w:jc w:val="center"/>
              <w:rPr/>
            </w:pPr>
            <w:r>
              <w:rPr>
                <w:rStyle w:val="Domylnaczcionkaakapitu"/>
                <w:rFonts w:eastAsia="Times New Roman" w:cs="Times New Roman" w:ascii="Calibri" w:hAnsi="Calibri"/>
                <w:u w:val="single"/>
              </w:rPr>
              <w:t xml:space="preserve"> </w:t>
            </w:r>
            <w:r>
              <w:rPr>
                <w:rStyle w:val="Domylnaczcionkaakapitu"/>
                <w:rFonts w:eastAsia="Times New Roman" w:cs="Times New Roman" w:ascii="Calibri" w:hAnsi="Calibri"/>
                <w:u w:val="single"/>
              </w:rPr>
              <w:t>świadczeń rodzinnych</w:t>
            </w:r>
          </w:p>
        </w:tc>
        <w:tc>
          <w:tcPr>
            <w:tcW w:w="4819" w:type="dxa"/>
            <w:tcBorders>
              <w:start w:val="single" w:sz="4" w:space="0" w:color="000000"/>
              <w:bottom w:val="single" w:sz="4" w:space="0" w:color="000000"/>
              <w:end w:val="single" w:sz="4" w:space="0" w:color="000000"/>
            </w:tcBorders>
            <w:shd w:fill="81D41A" w:val="clear"/>
            <w:vAlign w:val="center"/>
          </w:tcPr>
          <w:p>
            <w:pPr>
              <w:pStyle w:val="Normal"/>
              <w:spacing w:lineRule="auto" w:line="276"/>
              <w:jc w:val="center"/>
              <w:rPr/>
            </w:pPr>
            <w:r>
              <w:rPr>
                <w:rStyle w:val="Domylnaczcionkaakapitu"/>
                <w:rFonts w:ascii="Calibri" w:hAnsi="Calibri"/>
                <w:b/>
                <w:bCs/>
              </w:rPr>
              <w:t>3 279</w:t>
            </w:r>
          </w:p>
          <w:p>
            <w:pPr>
              <w:pStyle w:val="Normal"/>
              <w:spacing w:lineRule="auto" w:line="276"/>
              <w:jc w:val="center"/>
              <w:rPr>
                <w:rFonts w:ascii="Calibri" w:hAnsi="Calibri" w:eastAsia="Times New Roman" w:cs="Times New Roman"/>
                <w:b/>
                <w:bCs/>
              </w:rPr>
            </w:pPr>
            <w:r>
              <w:rPr>
                <w:rFonts w:eastAsia="Times New Roman" w:cs="Times New Roman" w:ascii="Calibri" w:hAnsi="Calibri"/>
                <w:b/>
                <w:bCs/>
              </w:rPr>
            </w:r>
          </w:p>
        </w:tc>
      </w:tr>
      <w:tr>
        <w:trPr/>
        <w:tc>
          <w:tcPr>
            <w:tcW w:w="4819" w:type="dxa"/>
            <w:tcBorders>
              <w:start w:val="single" w:sz="4" w:space="0" w:color="000000"/>
              <w:bottom w:val="single" w:sz="4" w:space="0" w:color="000000"/>
            </w:tcBorders>
            <w:shd w:fill="FFFF00" w:val="clear"/>
            <w:vAlign w:val="center"/>
          </w:tcPr>
          <w:p>
            <w:pPr>
              <w:pStyle w:val="Normal"/>
              <w:spacing w:lineRule="auto" w:line="276"/>
              <w:jc w:val="center"/>
              <w:rPr>
                <w:rFonts w:ascii="Calibri" w:hAnsi="Calibri" w:eastAsia="Times New Roman" w:cs="Times New Roman"/>
                <w:u w:val="single"/>
              </w:rPr>
            </w:pPr>
            <w:r>
              <w:rPr>
                <w:rFonts w:eastAsia="Times New Roman" w:cs="Times New Roman" w:ascii="Calibri" w:hAnsi="Calibri"/>
                <w:u w:val="single"/>
              </w:rPr>
              <w:t>świadczeń z funduszu alimentacyjnego</w:t>
            </w:r>
          </w:p>
        </w:tc>
        <w:tc>
          <w:tcPr>
            <w:tcW w:w="4819" w:type="dxa"/>
            <w:tcBorders>
              <w:start w:val="single" w:sz="4" w:space="0" w:color="000000"/>
              <w:bottom w:val="single" w:sz="4" w:space="0" w:color="000000"/>
              <w:end w:val="single" w:sz="4" w:space="0" w:color="000000"/>
            </w:tcBorders>
            <w:shd w:fill="81D41A" w:val="clear"/>
            <w:vAlign w:val="center"/>
          </w:tcPr>
          <w:p>
            <w:pPr>
              <w:pStyle w:val="Normal"/>
              <w:spacing w:lineRule="auto" w:line="276"/>
              <w:jc w:val="center"/>
              <w:rPr>
                <w:rFonts w:ascii="Calibri" w:hAnsi="Calibri"/>
                <w:b/>
                <w:bCs/>
              </w:rPr>
            </w:pPr>
            <w:r>
              <w:rPr>
                <w:rFonts w:ascii="Calibri" w:hAnsi="Calibri"/>
                <w:b/>
                <w:bCs/>
              </w:rPr>
              <w:t>562</w:t>
            </w:r>
          </w:p>
          <w:p>
            <w:pPr>
              <w:pStyle w:val="Normal"/>
              <w:spacing w:lineRule="auto" w:line="276"/>
              <w:jc w:val="center"/>
              <w:rPr>
                <w:rFonts w:ascii="Calibri" w:hAnsi="Calibri" w:eastAsia="Times New Roman" w:cs="Times New Roman"/>
                <w:b/>
                <w:bCs/>
              </w:rPr>
            </w:pPr>
            <w:r>
              <w:rPr>
                <w:rFonts w:eastAsia="Times New Roman" w:cs="Times New Roman" w:ascii="Calibri" w:hAnsi="Calibri"/>
                <w:b/>
                <w:bCs/>
              </w:rPr>
            </w:r>
          </w:p>
        </w:tc>
      </w:tr>
    </w:tbl>
    <w:p>
      <w:pPr>
        <w:pStyle w:val="Normal"/>
        <w:spacing w:lineRule="auto" w:line="276"/>
        <w:rPr>
          <w:rFonts w:ascii="Calibri" w:hAnsi="Calibri" w:eastAsia="Times New Roman" w:cs="Times New Roman"/>
          <w:u w:val="single"/>
        </w:rPr>
      </w:pPr>
      <w:r>
        <w:rPr>
          <w:rFonts w:eastAsia="Times New Roman" w:cs="Times New Roman" w:ascii="Calibri" w:hAnsi="Calibri"/>
          <w:u w:val="single"/>
        </w:rPr>
      </w:r>
    </w:p>
    <w:p>
      <w:pPr>
        <w:pStyle w:val="Normal"/>
        <w:spacing w:lineRule="auto" w:line="276"/>
        <w:rPr>
          <w:rFonts w:ascii="Calibri" w:hAnsi="Calibri" w:eastAsia="Times New Roman" w:cs="Times New Roman"/>
        </w:rPr>
      </w:pPr>
      <w:r>
        <w:rPr>
          <w:rFonts w:eastAsia="Times New Roman" w:cs="Times New Roman" w:ascii="Calibri" w:hAnsi="Calibri"/>
        </w:rPr>
        <w:tab/>
      </w:r>
    </w:p>
    <w:p>
      <w:pPr>
        <w:pStyle w:val="Normal"/>
        <w:spacing w:lineRule="auto" w:line="276"/>
        <w:rPr/>
      </w:pPr>
      <w:r>
        <w:rPr>
          <w:rStyle w:val="Domylnaczcionkaakapitu"/>
          <w:rFonts w:eastAsia="Times New Roman" w:cs="Times New Roman" w:ascii="Calibri" w:hAnsi="Calibri"/>
        </w:rPr>
        <w:tab/>
        <w:t xml:space="preserve">Liczba wniesionych do Samorządowego Kolegium Odwoławczego w Piotrkowie Tryb. odwołań od wydanych przez organ właściwy decyzji administracyjnych dotyczących świadczeń rodzinnych wyniosła: </w:t>
      </w:r>
      <w:r>
        <w:rPr>
          <w:rStyle w:val="Domylnaczcionkaakapitu"/>
          <w:rFonts w:eastAsia="Times New Roman" w:cs="Times New Roman" w:ascii="Calibri" w:hAnsi="Calibri"/>
          <w:b/>
          <w:bCs/>
        </w:rPr>
        <w:t>5 spraw.</w:t>
      </w:r>
    </w:p>
    <w:p>
      <w:pPr>
        <w:pStyle w:val="Normal"/>
        <w:spacing w:lineRule="auto" w:line="276"/>
        <w:rPr>
          <w:rFonts w:ascii="Calibri" w:hAnsi="Calibri" w:eastAsia="Times New Roman" w:cs="Times New Roman"/>
        </w:rPr>
      </w:pPr>
      <w:r>
        <w:rPr>
          <w:rFonts w:eastAsia="Times New Roman" w:cs="Times New Roman" w:ascii="Calibri" w:hAnsi="Calibri"/>
        </w:rPr>
      </w:r>
    </w:p>
    <w:p>
      <w:pPr>
        <w:pStyle w:val="Normal"/>
        <w:spacing w:lineRule="auto" w:line="276"/>
        <w:rPr/>
      </w:pPr>
      <w:r>
        <w:rPr>
          <w:rStyle w:val="Domylnaczcionkaakapitu"/>
          <w:rFonts w:eastAsia="Times New Roman" w:cs="Times New Roman" w:ascii="Calibri" w:hAnsi="Calibri"/>
        </w:rPr>
        <w:tab/>
      </w:r>
      <w:r>
        <w:rPr>
          <w:rStyle w:val="Domylnaczcionkaakapitu"/>
          <w:rFonts w:eastAsia="Times New Roman" w:cs="Times New Roman" w:ascii="Calibri" w:hAnsi="Calibri"/>
          <w:b/>
          <w:bCs/>
        </w:rPr>
        <w:t>Stanowisko organu II instancji w powyższych sprawach:</w:t>
      </w:r>
    </w:p>
    <w:p>
      <w:pPr>
        <w:pStyle w:val="Normal"/>
        <w:spacing w:lineRule="auto" w:line="276"/>
        <w:rPr/>
      </w:pPr>
      <w:r>
        <w:rPr>
          <w:rStyle w:val="Domylnaczcionkaakapitu"/>
          <w:rFonts w:eastAsia="Times New Roman" w:cs="Times New Roman" w:ascii="Calibri" w:hAnsi="Calibri"/>
        </w:rPr>
        <w:t xml:space="preserve">- decyzji utrzymujących w mocy decyzje wydane przez organ I instancji (w całości lub w części) –        </w:t>
      </w:r>
      <w:r>
        <w:rPr>
          <w:rStyle w:val="Domylnaczcionkaakapitu"/>
          <w:rFonts w:eastAsia="Times New Roman" w:cs="Times New Roman" w:ascii="Calibri" w:hAnsi="Calibri"/>
          <w:b/>
          <w:bCs/>
        </w:rPr>
        <w:t xml:space="preserve">2 sprawy </w:t>
      </w:r>
      <w:r>
        <w:rPr>
          <w:rStyle w:val="Domylnaczcionkaakapitu"/>
          <w:rFonts w:eastAsia="Times New Roman" w:cs="Times New Roman" w:ascii="Calibri" w:hAnsi="Calibri"/>
        </w:rPr>
        <w:t>dotyczące świadczeń rodzinnych,</w:t>
      </w:r>
    </w:p>
    <w:p>
      <w:pPr>
        <w:pStyle w:val="Normal"/>
        <w:spacing w:lineRule="auto" w:line="276"/>
        <w:rPr/>
      </w:pPr>
      <w:r>
        <w:rPr>
          <w:rStyle w:val="Domylnaczcionkaakapitu"/>
          <w:rFonts w:eastAsia="Times New Roman" w:cs="Times New Roman" w:ascii="Calibri" w:hAnsi="Calibri"/>
        </w:rPr>
        <w:t xml:space="preserve">- decyzji uchylających decyzję organu I instancji i przekazanych do ponownego rozpatrzenia przez organ – </w:t>
      </w:r>
      <w:r>
        <w:rPr>
          <w:rStyle w:val="Domylnaczcionkaakapitu"/>
          <w:rFonts w:eastAsia="Times New Roman" w:cs="Times New Roman" w:ascii="Calibri" w:hAnsi="Calibri"/>
          <w:b/>
          <w:bCs/>
        </w:rPr>
        <w:t>2 sprawy dotyczących świadczeń rodzinnych</w:t>
      </w:r>
    </w:p>
    <w:p>
      <w:pPr>
        <w:pStyle w:val="Normal"/>
        <w:spacing w:lineRule="auto" w:line="276"/>
        <w:rPr>
          <w:rFonts w:ascii="Calibri" w:hAnsi="Calibri" w:eastAsia="Times New Roman" w:cs="Times New Roman"/>
          <w:b/>
          <w:bCs/>
        </w:rPr>
      </w:pPr>
      <w:r>
        <w:rPr>
          <w:rFonts w:eastAsia="Times New Roman" w:cs="Times New Roman" w:ascii="Calibri" w:hAnsi="Calibri"/>
          <w:b/>
          <w:bCs/>
        </w:rPr>
        <w:t>- decyzji stwierdzających nieważność decyzji organu właściwego - 1 sprawa dotycząca świadczeń rodzinnych.</w:t>
      </w:r>
    </w:p>
    <w:p>
      <w:pPr>
        <w:pStyle w:val="Normal"/>
        <w:autoSpaceDE w:val="false"/>
        <w:spacing w:lineRule="auto" w:line="276"/>
        <w:rPr>
          <w:rFonts w:ascii="Calibri" w:hAnsi="Calibri" w:eastAsia="Times New Roman" w:cs="Times New Roman"/>
          <w:b/>
          <w:bCs/>
        </w:rPr>
      </w:pPr>
      <w:r>
        <w:rPr>
          <w:rFonts w:eastAsia="Times New Roman" w:cs="Times New Roman" w:ascii="Calibri" w:hAnsi="Calibri"/>
          <w:b/>
          <w:bCs/>
        </w:rPr>
      </w:r>
    </w:p>
    <w:p>
      <w:pPr>
        <w:pStyle w:val="Normal"/>
        <w:autoSpaceDE w:val="false"/>
        <w:spacing w:lineRule="auto" w:line="276"/>
        <w:jc w:val="both"/>
        <w:rPr/>
      </w:pPr>
      <w:r>
        <w:rPr>
          <w:rStyle w:val="Domylnaczcionkaakapitu"/>
          <w:rFonts w:eastAsia="Calibri" w:cs="Calibri" w:ascii="Calibri" w:hAnsi="Calibri"/>
          <w:b/>
          <w:bCs/>
        </w:rPr>
        <w:t>●</w:t>
      </w:r>
      <w:r>
        <w:rPr>
          <w:rStyle w:val="Domylnaczcionkaakapitu"/>
          <w:rFonts w:eastAsia="TimesNewRomanPSMT" w:cs="TimesNewRomanPSMT" w:ascii="Calibri" w:hAnsi="Calibri"/>
          <w:b/>
          <w:bCs/>
        </w:rPr>
        <w:tab/>
      </w:r>
      <w:r>
        <w:rPr>
          <w:rStyle w:val="Domylnaczcionkaakapitu"/>
          <w:rFonts w:eastAsia="TimesNewRomanPSMT" w:cs="TimesNewRomanPSMT" w:ascii="Calibri" w:hAnsi="Calibri"/>
          <w:b/>
          <w:bCs/>
          <w:u w:val="single"/>
        </w:rPr>
        <w:t>Bon ciepłowniczy</w:t>
      </w:r>
    </w:p>
    <w:p>
      <w:pPr>
        <w:pStyle w:val="Normal"/>
        <w:jc w:val="both"/>
        <w:rPr>
          <w:rFonts w:ascii="Calibri" w:hAnsi="Calibri"/>
        </w:rPr>
      </w:pPr>
      <w:r>
        <w:rPr>
          <w:rFonts w:ascii="Calibri" w:hAnsi="Calibri"/>
        </w:rPr>
      </w:r>
    </w:p>
    <w:p>
      <w:pPr>
        <w:pStyle w:val="Normal"/>
        <w:jc w:val="both"/>
        <w:rPr/>
      </w:pPr>
      <w:r>
        <w:rPr>
          <w:rStyle w:val="Domylnaczcionkaakapitu"/>
          <w:rFonts w:ascii="Calibri" w:hAnsi="Calibri"/>
        </w:rPr>
        <w:tab/>
        <w:t xml:space="preserve">W dniu 30 września 20025 r. weszła w życie ustawa o bonie ciepłowniczym oraz o zmianie niektórych ustaw w celu ograniczenia wysokości cen energii elektrycznej (Dz. U. z 2025 r., poz. 1302). </w:t>
        <w:tab/>
        <w:t xml:space="preserve">Jest to </w:t>
      </w:r>
      <w:r>
        <w:rPr>
          <w:rStyle w:val="Strong"/>
          <w:rFonts w:ascii="Calibri" w:hAnsi="Calibri"/>
          <w:b w:val="false"/>
          <w:bCs w:val="false"/>
        </w:rPr>
        <w:t>nowe świadczenie wspierające gospodarstwa domowe o niższych dochodach                    w pokrywaniu kosztów ogrzewania za okres od 1 lipca 2025 r. do 31 grudnia 2025 r.</w:t>
      </w:r>
      <w:r>
        <w:rPr>
          <w:rStyle w:val="Domylnaczcionkaakapitu"/>
          <w:rFonts w:ascii="Calibri" w:hAnsi="Calibri"/>
        </w:rPr>
        <w:tab/>
        <w:tab/>
        <w:tab/>
        <w:tab/>
        <w:tab/>
        <w:tab/>
        <w:tab/>
        <w:tab/>
        <w:tab/>
        <w:tab/>
        <w:t xml:space="preserve">                     </w:t>
      </w:r>
    </w:p>
    <w:p>
      <w:pPr>
        <w:pStyle w:val="BodyText"/>
        <w:jc w:val="both"/>
        <w:rPr/>
      </w:pPr>
      <w:r>
        <w:rPr>
          <w:rStyle w:val="Domylnaczcionkaakapitu"/>
          <w:rFonts w:ascii="Calibri" w:hAnsi="Calibri"/>
          <w:b/>
          <w:bCs/>
        </w:rPr>
        <w:t>Bon ciepłowniczy przysługiwał gospodarstwom domowym, które łącznie spełniały następujące kryteria</w:t>
      </w:r>
      <w:r>
        <w:rPr>
          <w:rStyle w:val="Domylnaczcionkaakapitu"/>
          <w:rFonts w:ascii="Calibri" w:hAnsi="Calibri"/>
        </w:rPr>
        <w:t>:</w:t>
        <w:tab/>
        <w:tab/>
        <w:tab/>
        <w:tab/>
        <w:tab/>
        <w:tab/>
        <w:tab/>
        <w:tab/>
        <w:tab/>
        <w:tab/>
        <w:tab/>
        <w:tab/>
        <w:tab/>
        <w:t>1)  kryterium dochodowe za rok 2024 stanowiło kwotę: do 3 272,69 zł dla gospodarstw jednoosobowych i do 2 454,52 zł na osobę w gospodarstwach wieloosobowych,</w:t>
        <w:tab/>
        <w:tab/>
        <w:tab/>
        <w:tab/>
        <w:t>2)  korzystają z ciepła systemowego,</w:t>
        <w:tab/>
        <w:tab/>
        <w:tab/>
        <w:tab/>
        <w:tab/>
        <w:tab/>
        <w:tab/>
        <w:tab/>
        <w:tab/>
        <w:t>3)  ponoszą koszty ciepła przekraczające 170 zł netto za gigadżul (G/J).</w:t>
      </w:r>
    </w:p>
    <w:p>
      <w:pPr>
        <w:pStyle w:val="BodyText"/>
        <w:jc w:val="both"/>
        <w:rPr>
          <w:rFonts w:ascii="Calibri" w:hAnsi="Calibri"/>
          <w:b/>
          <w:bCs/>
        </w:rPr>
      </w:pPr>
      <w:r>
        <w:rPr>
          <w:rFonts w:ascii="Calibri" w:hAnsi="Calibri"/>
          <w:b/>
          <w:bCs/>
        </w:rPr>
        <w:t>Bon ciepłowniczy był przyznawany za okres od 1 lipca 2025 r. do 31 grudnia 2025 r. jednorazowo       w wysokości:</w:t>
      </w:r>
    </w:p>
    <w:p>
      <w:pPr>
        <w:pStyle w:val="BodyText"/>
        <w:jc w:val="both"/>
        <w:rPr/>
      </w:pPr>
      <w:r>
        <w:rPr>
          <w:rStyle w:val="Domylnaczcionkaakapitu"/>
          <w:rFonts w:ascii="Calibri" w:hAnsi="Calibri"/>
          <w:b/>
          <w:bCs/>
        </w:rPr>
        <w:t>a) 500 zł –</w:t>
      </w:r>
      <w:r>
        <w:rPr>
          <w:rStyle w:val="Domylnaczcionkaakapitu"/>
          <w:rFonts w:ascii="Calibri" w:hAnsi="Calibri"/>
        </w:rPr>
        <w:t xml:space="preserve"> dla gospodarstwa domowego w przypadku, gdy jednoskładnikowa cena ciepła netto obowiązująca w rozliczeniach z odbiorcami ciepła w danej grupie taryfowej w danym systemie ciepłowniczym jest wyższa niż 170 zł/GJ netto i nie wyższa niż 200 zł/GJ netto,</w:t>
      </w:r>
    </w:p>
    <w:p>
      <w:pPr>
        <w:pStyle w:val="BodyText"/>
        <w:jc w:val="both"/>
        <w:rPr/>
      </w:pPr>
      <w:r>
        <w:rPr>
          <w:rStyle w:val="Domylnaczcionkaakapitu"/>
          <w:rFonts w:ascii="Calibri" w:hAnsi="Calibri"/>
          <w:b/>
          <w:bCs/>
        </w:rPr>
        <w:t xml:space="preserve">b) 1000 zł – </w:t>
      </w:r>
      <w:r>
        <w:rPr>
          <w:rStyle w:val="Domylnaczcionkaakapitu"/>
          <w:rFonts w:ascii="Calibri" w:hAnsi="Calibri"/>
        </w:rPr>
        <w:t>dla gospodarstwa domowego w przypadku, gdy jednoskładnikowa cena ciepła netto obowiązująca w rozliczeniach z odbiorcami ciepła w danej grupie taryfowej w danym systemie ciepłowniczym jest wyższa niż 200 zł/GJ netto i nie wyższa niż 230 zł/GJ netto,</w:t>
      </w:r>
    </w:p>
    <w:p>
      <w:pPr>
        <w:pStyle w:val="BodyText"/>
        <w:jc w:val="both"/>
        <w:rPr/>
      </w:pPr>
      <w:r>
        <w:rPr>
          <w:rStyle w:val="Domylnaczcionkaakapitu"/>
          <w:rFonts w:ascii="Calibri" w:hAnsi="Calibri"/>
          <w:b/>
          <w:bCs/>
        </w:rPr>
        <w:t xml:space="preserve">c) 1750 zł – </w:t>
      </w:r>
      <w:r>
        <w:rPr>
          <w:rStyle w:val="Domylnaczcionkaakapitu"/>
          <w:rFonts w:ascii="Calibri" w:hAnsi="Calibri"/>
        </w:rPr>
        <w:t>dla gospodarstwa domowego w przypadku, gdy jednoskładnikowa cena ciepła netto obowiązująca w rozliczeniach z odbiorcami ciepła w danej grupie taryfowej w danym systemie ciepłowniczym jest wyższa niż 230 zł/GJ netto;</w:t>
      </w:r>
    </w:p>
    <w:p>
      <w:pPr>
        <w:pStyle w:val="BodyText"/>
        <w:autoSpaceDE w:val="false"/>
        <w:jc w:val="both"/>
        <w:rPr/>
      </w:pPr>
      <w:r>
        <w:rPr>
          <w:rStyle w:val="Domylnaczcionkaakapitu"/>
          <w:rFonts w:eastAsia="TimesNewRomanPSMT" w:cs="TimesNewRomanPSMT" w:ascii="Calibri" w:hAnsi="Calibri"/>
        </w:rPr>
        <w:t>W przypadku bonu ciepłowniczego obowiązywała tzw. zasada „złotówka za złotówkę”, co spowodowało, że bon był przyznawany nawet w sytuacji przekroczenia kryterium dochodowego, a kwota bonu do wypłaty była pomniejszona o kwotę tego przekroczenia. Minimalna kwota wypłacanych bonów wynosiła 20 zł.</w:t>
      </w:r>
    </w:p>
    <w:p>
      <w:pPr>
        <w:pStyle w:val="Normal"/>
        <w:autoSpaceDE w:val="false"/>
        <w:spacing w:lineRule="auto" w:line="276"/>
        <w:rPr>
          <w:rFonts w:ascii="Calibri" w:hAnsi="Calibri" w:eastAsia="TimesNewRomanPSMT" w:cs="TimesNewRomanPSMT"/>
        </w:rPr>
      </w:pPr>
      <w:r>
        <w:rPr>
          <w:rFonts w:eastAsia="TimesNewRomanPSMT" w:cs="TimesNewRomanPSMT" w:ascii="Calibri" w:hAnsi="Calibri"/>
        </w:rPr>
      </w:r>
    </w:p>
    <w:tbl>
      <w:tblPr>
        <w:tblW w:w="9638" w:type="dxa"/>
        <w:jc w:val="start"/>
        <w:tblInd w:w="-5" w:type="dxa"/>
        <w:tblLayout w:type="fixed"/>
        <w:tblCellMar>
          <w:top w:w="55" w:type="dxa"/>
          <w:start w:w="55" w:type="dxa"/>
          <w:bottom w:w="55" w:type="dxa"/>
          <w:end w:w="55" w:type="dxa"/>
        </w:tblCellMar>
      </w:tblPr>
      <w:tblGrid>
        <w:gridCol w:w="4819"/>
        <w:gridCol w:w="4819"/>
      </w:tblGrid>
      <w:tr>
        <w:trPr>
          <w:trHeight w:val="849" w:hRule="atLeast"/>
        </w:trPr>
        <w:tc>
          <w:tcPr>
            <w:tcW w:w="4819" w:type="dxa"/>
            <w:tcBorders>
              <w:top w:val="single" w:sz="4" w:space="0" w:color="000000"/>
              <w:start w:val="single" w:sz="4" w:space="0" w:color="000000"/>
              <w:bottom w:val="single" w:sz="4" w:space="0" w:color="000000"/>
            </w:tcBorders>
            <w:shd w:fill="FF8000" w:val="clear"/>
            <w:vAlign w:val="center"/>
          </w:tcPr>
          <w:p>
            <w:pPr>
              <w:pStyle w:val="Zawartotabeli"/>
              <w:jc w:val="center"/>
              <w:rPr>
                <w:rFonts w:ascii="Calibri" w:hAnsi="Calibri"/>
                <w:b/>
                <w:bCs/>
                <w:i/>
                <w:iCs/>
              </w:rPr>
            </w:pPr>
            <w:r>
              <w:rPr>
                <w:rFonts w:ascii="Calibri" w:hAnsi="Calibri"/>
                <w:b/>
                <w:bCs/>
                <w:i/>
                <w:iCs/>
              </w:rPr>
              <w:t>Liczba gospodarstw domowych, które otrzymały bon ciepłowniczy</w:t>
            </w:r>
          </w:p>
        </w:tc>
        <w:tc>
          <w:tcPr>
            <w:tcW w:w="4819" w:type="dxa"/>
            <w:tcBorders>
              <w:top w:val="single" w:sz="4" w:space="0" w:color="000000"/>
              <w:start w:val="single" w:sz="4" w:space="0" w:color="000000"/>
              <w:bottom w:val="single" w:sz="4" w:space="0" w:color="000000"/>
              <w:end w:val="single" w:sz="4" w:space="0" w:color="000000"/>
            </w:tcBorders>
            <w:shd w:fill="FF8000" w:val="clear"/>
            <w:vAlign w:val="center"/>
          </w:tcPr>
          <w:p>
            <w:pPr>
              <w:pStyle w:val="Zawartotabeli"/>
              <w:jc w:val="center"/>
              <w:rPr>
                <w:rFonts w:ascii="Calibri" w:hAnsi="Calibri"/>
                <w:b/>
                <w:bCs/>
                <w:i/>
                <w:iCs/>
              </w:rPr>
            </w:pPr>
            <w:r>
              <w:rPr>
                <w:rFonts w:ascii="Calibri" w:hAnsi="Calibri"/>
                <w:b/>
                <w:bCs/>
                <w:i/>
                <w:iCs/>
              </w:rPr>
              <w:t>Kwota wypłaconych bonów ciepłowniczych              za okres od lipca do grudnia 2025 r.</w:t>
            </w:r>
          </w:p>
        </w:tc>
      </w:tr>
      <w:tr>
        <w:trPr>
          <w:trHeight w:val="826" w:hRule="atLeast"/>
        </w:trPr>
        <w:tc>
          <w:tcPr>
            <w:tcW w:w="4819" w:type="dxa"/>
            <w:tcBorders>
              <w:start w:val="single" w:sz="4" w:space="0" w:color="000000"/>
              <w:bottom w:val="single" w:sz="4" w:space="0" w:color="000000"/>
            </w:tcBorders>
            <w:shd w:fill="FFFF00" w:val="clear"/>
            <w:vAlign w:val="center"/>
          </w:tcPr>
          <w:p>
            <w:pPr>
              <w:pStyle w:val="Normal"/>
              <w:spacing w:lineRule="auto" w:line="276"/>
              <w:jc w:val="center"/>
              <w:rPr>
                <w:rFonts w:ascii="Calibri" w:hAnsi="Calibri" w:eastAsia="Times New Roman" w:cs="Times New Roman"/>
                <w:b/>
                <w:bCs/>
              </w:rPr>
            </w:pPr>
            <w:r>
              <w:rPr>
                <w:rFonts w:eastAsia="Times New Roman" w:cs="Times New Roman" w:ascii="Calibri" w:hAnsi="Calibri"/>
                <w:b/>
                <w:bCs/>
              </w:rPr>
              <w:t>11</w:t>
            </w:r>
          </w:p>
        </w:tc>
        <w:tc>
          <w:tcPr>
            <w:tcW w:w="4819" w:type="dxa"/>
            <w:tcBorders>
              <w:start w:val="single" w:sz="4" w:space="0" w:color="000000"/>
              <w:bottom w:val="single" w:sz="4" w:space="0" w:color="000000"/>
              <w:end w:val="single" w:sz="4" w:space="0" w:color="000000"/>
            </w:tcBorders>
            <w:shd w:fill="81D41A" w:val="clear"/>
            <w:vAlign w:val="center"/>
          </w:tcPr>
          <w:p>
            <w:pPr>
              <w:pStyle w:val="Normal"/>
              <w:spacing w:lineRule="auto" w:line="276"/>
              <w:jc w:val="center"/>
              <w:rPr>
                <w:rFonts w:ascii="Calibri" w:hAnsi="Calibri" w:eastAsia="Times New Roman" w:cs="Times New Roman"/>
                <w:b/>
                <w:bCs/>
              </w:rPr>
            </w:pPr>
            <w:r>
              <w:rPr>
                <w:rFonts w:eastAsia="Times New Roman" w:cs="Times New Roman" w:ascii="Calibri" w:hAnsi="Calibri"/>
                <w:b/>
                <w:bCs/>
              </w:rPr>
            </w:r>
          </w:p>
          <w:p>
            <w:pPr>
              <w:pStyle w:val="Normal"/>
              <w:spacing w:lineRule="auto" w:line="276"/>
              <w:jc w:val="center"/>
              <w:rPr/>
            </w:pPr>
            <w:r>
              <w:rPr>
                <w:rStyle w:val="Domylnaczcionkaakapitu"/>
                <w:rFonts w:eastAsia="Times New Roman" w:cs="Times New Roman" w:ascii="Calibri" w:hAnsi="Calibri"/>
                <w:b/>
                <w:bCs/>
              </w:rPr>
              <w:t>5 061,12 zł</w:t>
            </w:r>
          </w:p>
          <w:p>
            <w:pPr>
              <w:pStyle w:val="Normal"/>
              <w:spacing w:lineRule="auto" w:line="276"/>
              <w:jc w:val="center"/>
              <w:rPr>
                <w:rFonts w:ascii="Calibri" w:hAnsi="Calibri" w:eastAsia="Times New Roman" w:cs="Times New Roman"/>
                <w:b/>
                <w:bCs/>
              </w:rPr>
            </w:pPr>
            <w:r>
              <w:rPr>
                <w:rFonts w:eastAsia="Times New Roman" w:cs="Times New Roman" w:ascii="Calibri" w:hAnsi="Calibri"/>
                <w:b/>
                <w:bCs/>
              </w:rPr>
            </w:r>
          </w:p>
        </w:tc>
      </w:tr>
    </w:tbl>
    <w:p>
      <w:pPr>
        <w:pStyle w:val="BodyText"/>
        <w:autoSpaceDE w:val="false"/>
        <w:rPr>
          <w:rFonts w:ascii="Calibri" w:hAnsi="Calibri" w:eastAsia="TimesNewRomanPSMT" w:cs="TimesNewRomanPSMT"/>
        </w:rPr>
      </w:pPr>
      <w:r>
        <w:rPr>
          <w:rFonts w:eastAsia="TimesNewRomanPSMT" w:cs="TimesNewRomanPSMT" w:ascii="Calibri" w:hAnsi="Calibri"/>
        </w:rPr>
      </w:r>
    </w:p>
    <w:p>
      <w:pPr>
        <w:pStyle w:val="BodyText"/>
        <w:autoSpaceDE w:val="false"/>
        <w:rPr>
          <w:rFonts w:ascii="Calibri" w:hAnsi="Calibri" w:eastAsia="TimesNewRomanPSMT" w:cs="TimesNewRomanPSMT"/>
        </w:rPr>
      </w:pPr>
      <w:r>
        <w:rPr>
          <w:rFonts w:eastAsia="TimesNewRomanPSMT" w:cs="TimesNewRomanPSMT" w:ascii="Calibri" w:hAnsi="Calibri"/>
        </w:rPr>
      </w:r>
    </w:p>
    <w:p>
      <w:pPr>
        <w:pStyle w:val="BodyText"/>
        <w:autoSpaceDE w:val="false"/>
        <w:rPr>
          <w:rFonts w:ascii="Calibri" w:hAnsi="Calibri" w:eastAsia="TimesNewRomanPSMT" w:cs="TimesNewRomanPSMT"/>
        </w:rPr>
      </w:pPr>
      <w:r>
        <w:rPr>
          <w:rFonts w:eastAsia="TimesNewRomanPSMT" w:cs="TimesNewRomanPSMT" w:ascii="Calibri" w:hAnsi="Calibri"/>
        </w:rPr>
      </w:r>
      <w:r>
        <w:br w:type="page"/>
      </w:r>
    </w:p>
    <w:p>
      <w:pPr>
        <w:pStyle w:val="BodyText"/>
        <w:autoSpaceDE w:val="false"/>
        <w:jc w:val="center"/>
        <w:rPr/>
      </w:pPr>
      <w:r>
        <w:rPr>
          <w:rStyle w:val="Domylnaczcionkaakapitu"/>
          <w:rFonts w:eastAsia="TimesNewRomanPSMT" w:cs="Calibri" w:ascii="Calibri" w:hAnsi="Calibri"/>
          <w:b/>
          <w:bCs/>
          <w:sz w:val="32"/>
          <w:szCs w:val="32"/>
        </w:rPr>
        <w:t xml:space="preserve">VIII.  </w:t>
      </w:r>
      <w:r>
        <w:rPr>
          <w:rStyle w:val="Domylnaczcionkaakapitu"/>
          <w:rFonts w:cs="Calibri" w:ascii="Calibri" w:hAnsi="Calibri"/>
          <w:b/>
          <w:bCs/>
          <w:sz w:val="32"/>
          <w:szCs w:val="32"/>
        </w:rPr>
        <w:t>Dział Pomocy Społecznej</w:t>
      </w:r>
    </w:p>
    <w:p>
      <w:pPr>
        <w:pStyle w:val="Normal"/>
        <w:spacing w:lineRule="auto" w:line="360"/>
        <w:ind w:firstLine="709"/>
        <w:jc w:val="both"/>
        <w:rPr>
          <w:rFonts w:ascii="Calibri" w:hAnsi="Calibri" w:cs="Calibri"/>
        </w:rPr>
      </w:pPr>
      <w:r>
        <w:rPr>
          <w:rFonts w:cs="Calibri" w:ascii="Calibri" w:hAnsi="Calibri"/>
        </w:rPr>
        <w:t>W strukturze organizacyjnej  Miejskiego Ośrodka Pomocy Społecznej w Tomaszowie Mazowieckim funkcjonuje Dział Pomocy Społecznej, w skład którego wchodzą:</w:t>
      </w:r>
    </w:p>
    <w:p>
      <w:pPr>
        <w:pStyle w:val="Normal"/>
        <w:spacing w:lineRule="auto" w:line="360"/>
        <w:jc w:val="both"/>
        <w:rPr/>
      </w:pPr>
      <w:r>
        <w:rPr>
          <w:rStyle w:val="Domylnaczcionkaakapitu"/>
          <w:rFonts w:cs="Calibri" w:ascii="Calibri" w:hAnsi="Calibri"/>
          <w:b/>
          <w:bCs/>
        </w:rPr>
        <w:t>1.</w:t>
      </w:r>
      <w:r>
        <w:rPr>
          <w:rStyle w:val="Domylnaczcionkaakapitu"/>
          <w:rFonts w:cs="Calibri" w:ascii="Calibri" w:hAnsi="Calibri"/>
        </w:rPr>
        <w:tab/>
        <w:t>Sekcja Pomocy Środowiskowej:</w:t>
      </w:r>
    </w:p>
    <w:p>
      <w:pPr>
        <w:pStyle w:val="Normal"/>
        <w:spacing w:lineRule="auto" w:line="360"/>
        <w:jc w:val="both"/>
        <w:rPr>
          <w:rFonts w:ascii="Calibri" w:hAnsi="Calibri" w:cs="Calibri"/>
        </w:rPr>
      </w:pPr>
      <w:r>
        <w:rPr>
          <w:rFonts w:cs="Calibri" w:ascii="Calibri" w:hAnsi="Calibri"/>
        </w:rPr>
        <w:tab/>
        <w:t xml:space="preserve"> - Mieszkania treningowe i wspomagane,</w:t>
      </w:r>
    </w:p>
    <w:p>
      <w:pPr>
        <w:pStyle w:val="Normal"/>
        <w:spacing w:lineRule="auto" w:line="360"/>
        <w:ind w:firstLine="709"/>
        <w:jc w:val="both"/>
        <w:rPr>
          <w:rFonts w:ascii="Calibri" w:hAnsi="Calibri" w:cs="Calibri"/>
        </w:rPr>
      </w:pPr>
      <w:r>
        <w:rPr>
          <w:rFonts w:cs="Calibri" w:ascii="Calibri" w:hAnsi="Calibri"/>
        </w:rPr>
        <w:t xml:space="preserve"> </w:t>
      </w:r>
      <w:r>
        <w:rPr>
          <w:rFonts w:cs="Calibri" w:ascii="Calibri" w:hAnsi="Calibri"/>
        </w:rPr>
        <w:t xml:space="preserve">- Dzienne Domy Pomocy,                                                                                                                    </w:t>
      </w:r>
    </w:p>
    <w:p>
      <w:pPr>
        <w:pStyle w:val="Normal"/>
        <w:spacing w:lineRule="auto" w:line="360"/>
        <w:ind w:firstLine="709"/>
        <w:jc w:val="both"/>
        <w:rPr>
          <w:rFonts w:ascii="Calibri" w:hAnsi="Calibri" w:cs="Calibri"/>
        </w:rPr>
      </w:pPr>
      <w:r>
        <w:rPr>
          <w:rFonts w:cs="Calibri" w:ascii="Calibri" w:hAnsi="Calibri"/>
        </w:rPr>
        <w:t xml:space="preserve"> </w:t>
      </w:r>
      <w:r>
        <w:rPr>
          <w:rFonts w:cs="Calibri" w:ascii="Calibri" w:hAnsi="Calibri"/>
        </w:rPr>
        <w:t>- Placówka wsparcia dziennego,</w:t>
      </w:r>
    </w:p>
    <w:p>
      <w:pPr>
        <w:pStyle w:val="Normal"/>
        <w:spacing w:lineRule="auto" w:line="360"/>
        <w:jc w:val="both"/>
        <w:rPr>
          <w:rFonts w:ascii="Calibri" w:hAnsi="Calibri" w:cs="Calibri"/>
        </w:rPr>
      </w:pPr>
      <w:r>
        <w:rPr>
          <w:rFonts w:cs="Calibri" w:ascii="Calibri" w:hAnsi="Calibri"/>
        </w:rPr>
        <w:tab/>
        <w:t xml:space="preserve"> - Klub Integracji Społecznej,</w:t>
      </w:r>
    </w:p>
    <w:p>
      <w:pPr>
        <w:pStyle w:val="Normal"/>
        <w:spacing w:lineRule="auto" w:line="360"/>
        <w:jc w:val="both"/>
        <w:rPr/>
      </w:pPr>
      <w:r>
        <w:rPr>
          <w:rStyle w:val="Domylnaczcionkaakapitu"/>
          <w:rFonts w:cs="Calibri" w:ascii="Calibri" w:hAnsi="Calibri"/>
          <w:b/>
          <w:bCs/>
        </w:rPr>
        <w:t>2.</w:t>
      </w:r>
      <w:r>
        <w:rPr>
          <w:rStyle w:val="Domylnaczcionkaakapitu"/>
          <w:rFonts w:cs="Calibri" w:ascii="Calibri" w:hAnsi="Calibri"/>
        </w:rPr>
        <w:tab/>
        <w:t>Sekcja Świadczeń Pomocy Społecznej,</w:t>
      </w:r>
    </w:p>
    <w:p>
      <w:pPr>
        <w:pStyle w:val="Normal"/>
        <w:spacing w:lineRule="auto" w:line="360"/>
        <w:jc w:val="both"/>
        <w:rPr/>
      </w:pPr>
      <w:r>
        <w:rPr>
          <w:rStyle w:val="Domylnaczcionkaakapitu"/>
          <w:rFonts w:cs="Calibri" w:ascii="Calibri" w:hAnsi="Calibri"/>
          <w:b/>
          <w:bCs/>
        </w:rPr>
        <w:t>3.</w:t>
      </w:r>
      <w:r>
        <w:rPr>
          <w:rStyle w:val="Domylnaczcionkaakapitu"/>
          <w:rFonts w:cs="Calibri" w:ascii="Calibri" w:hAnsi="Calibri"/>
        </w:rPr>
        <w:tab/>
        <w:t>Sekcja Dodatków Mieszkaniowych, Stypendiów i Zasiłków Szkolnych.</w:t>
      </w:r>
    </w:p>
    <w:p>
      <w:pPr>
        <w:pStyle w:val="Nagwek2user"/>
        <w:tabs>
          <w:tab w:val="clear" w:pos="709"/>
          <w:tab w:val="left" w:pos="0" w:leader="none"/>
        </w:tabs>
        <w:spacing w:lineRule="auto" w:line="360"/>
        <w:ind w:hanging="0" w:start="0"/>
        <w:jc w:val="both"/>
        <w:rPr/>
      </w:pPr>
      <w:r>
        <w:rPr>
          <w:rStyle w:val="Domylnaczcionkaakapitu"/>
          <w:rFonts w:ascii="Calibri" w:hAnsi="Calibri"/>
          <w:sz w:val="24"/>
          <w:szCs w:val="24"/>
        </w:rPr>
        <w:t>1.  Sekcja Pomocy Środowiskowej</w:t>
      </w:r>
    </w:p>
    <w:p>
      <w:pPr>
        <w:pStyle w:val="Normal"/>
        <w:spacing w:lineRule="auto" w:line="360"/>
        <w:jc w:val="both"/>
        <w:rPr/>
      </w:pPr>
      <w:r>
        <w:rPr>
          <w:rStyle w:val="Domylnaczcionkaakapitu"/>
          <w:rFonts w:cs="Calibri" w:ascii="Calibri" w:hAnsi="Calibri"/>
        </w:rPr>
        <w:t xml:space="preserve">Sekcja Pomocy Środowiskowej w 2025 roku prowadziła działania oparte głównie na pracy </w:t>
        <w:br/>
        <w:t>20 pracowników terenowych  w  5  zespołach problemowych oraz 4 asystentów rodziny:</w:t>
      </w:r>
    </w:p>
    <w:p>
      <w:pPr>
        <w:pStyle w:val="Normal"/>
        <w:numPr>
          <w:ilvl w:val="0"/>
          <w:numId w:val="19"/>
        </w:numPr>
        <w:spacing w:lineRule="auto" w:line="360"/>
        <w:jc w:val="both"/>
        <w:rPr>
          <w:rFonts w:ascii="Calibri" w:hAnsi="Calibri" w:cs="Calibri"/>
        </w:rPr>
      </w:pPr>
      <w:r>
        <w:rPr>
          <w:rFonts w:cs="Calibri" w:ascii="Calibri" w:hAnsi="Calibri"/>
        </w:rPr>
        <w:t>Zespół ds. przeciwdziałania przemocy w rodzinie – 4 pracowników,</w:t>
      </w:r>
    </w:p>
    <w:p>
      <w:pPr>
        <w:pStyle w:val="Normal"/>
        <w:numPr>
          <w:ilvl w:val="0"/>
          <w:numId w:val="4"/>
        </w:numPr>
        <w:spacing w:lineRule="auto" w:line="360"/>
        <w:jc w:val="both"/>
        <w:rPr>
          <w:rFonts w:ascii="Calibri" w:hAnsi="Calibri" w:cs="Calibri"/>
        </w:rPr>
      </w:pPr>
      <w:r>
        <w:rPr>
          <w:rFonts w:cs="Calibri" w:ascii="Calibri" w:hAnsi="Calibri"/>
        </w:rPr>
        <w:t xml:space="preserve">Zespół ds. osób bezrobotnych, uzależnionych i bezdomnych – 4 pracowników,  </w:t>
      </w:r>
    </w:p>
    <w:p>
      <w:pPr>
        <w:pStyle w:val="Normal"/>
        <w:numPr>
          <w:ilvl w:val="0"/>
          <w:numId w:val="4"/>
        </w:numPr>
        <w:spacing w:lineRule="auto" w:line="360"/>
        <w:jc w:val="both"/>
        <w:rPr>
          <w:rFonts w:ascii="Calibri" w:hAnsi="Calibri" w:cs="Calibri"/>
        </w:rPr>
      </w:pPr>
      <w:r>
        <w:rPr>
          <w:rFonts w:cs="Calibri" w:ascii="Calibri" w:hAnsi="Calibri"/>
        </w:rPr>
        <w:t>Zespół ds. osób niepełnosprawnych – 4 pracowników,</w:t>
      </w:r>
    </w:p>
    <w:p>
      <w:pPr>
        <w:pStyle w:val="Normal"/>
        <w:numPr>
          <w:ilvl w:val="0"/>
          <w:numId w:val="4"/>
        </w:numPr>
        <w:spacing w:lineRule="auto" w:line="360"/>
        <w:jc w:val="both"/>
        <w:rPr>
          <w:rFonts w:ascii="Calibri" w:hAnsi="Calibri" w:cs="Calibri"/>
        </w:rPr>
      </w:pPr>
      <w:r>
        <w:rPr>
          <w:rFonts w:cs="Calibri" w:ascii="Calibri" w:hAnsi="Calibri"/>
        </w:rPr>
        <w:t>Zespół ds. osób starszych lub z długotrwałą chorobą i wymagających opieki – 5 pracowników,</w:t>
      </w:r>
    </w:p>
    <w:p>
      <w:pPr>
        <w:pStyle w:val="Normal"/>
        <w:numPr>
          <w:ilvl w:val="0"/>
          <w:numId w:val="4"/>
        </w:numPr>
        <w:spacing w:lineRule="auto" w:line="360"/>
        <w:jc w:val="both"/>
        <w:rPr>
          <w:rFonts w:ascii="Calibri" w:hAnsi="Calibri" w:cs="Calibri"/>
        </w:rPr>
      </w:pPr>
      <w:r>
        <w:rPr>
          <w:rFonts w:cs="Calibri" w:ascii="Calibri" w:hAnsi="Calibri"/>
        </w:rPr>
        <w:t>Zespół ds. rodzin wielodzietnych i niewydolnych wychowawczo – 3 pracowników,</w:t>
      </w:r>
    </w:p>
    <w:p>
      <w:pPr>
        <w:pStyle w:val="Normal"/>
        <w:tabs>
          <w:tab w:val="clear" w:pos="709"/>
        </w:tabs>
        <w:spacing w:lineRule="auto" w:line="360"/>
        <w:ind w:start="360"/>
        <w:jc w:val="both"/>
        <w:rPr/>
      </w:pPr>
      <w:r>
        <w:rPr>
          <w:rStyle w:val="Domylnaczcionkaakapitu"/>
          <w:rFonts w:eastAsia="Liberation Serif" w:ascii="Calibri" w:hAnsi="Calibri"/>
          <w:color w:val="000000"/>
        </w:rPr>
        <w:t xml:space="preserve">W Tomaszowskim Centrum Usług Środowiskowych  w 2025 roku świadczyło pracę 10 pracowników.  </w:t>
      </w:r>
    </w:p>
    <w:p>
      <w:pPr>
        <w:pStyle w:val="Normal"/>
        <w:spacing w:lineRule="auto" w:line="360"/>
        <w:rPr>
          <w:rFonts w:ascii="Calibri" w:hAnsi="Calibri"/>
        </w:rPr>
      </w:pPr>
      <w:r>
        <w:rPr>
          <w:rFonts w:ascii="Calibri" w:hAnsi="Calibri"/>
        </w:rPr>
      </w:r>
    </w:p>
    <w:p>
      <w:pPr>
        <w:pStyle w:val="Nagwek3user"/>
        <w:tabs>
          <w:tab w:val="clear" w:pos="709"/>
          <w:tab w:val="left" w:pos="0" w:leader="none"/>
        </w:tabs>
        <w:spacing w:lineRule="auto" w:line="360"/>
        <w:ind w:hanging="0" w:start="0"/>
        <w:rPr>
          <w:rFonts w:ascii="Calibri" w:hAnsi="Calibri"/>
          <w:sz w:val="24"/>
          <w:szCs w:val="24"/>
        </w:rPr>
      </w:pPr>
      <w:r>
        <w:rPr>
          <w:rFonts w:ascii="Calibri" w:hAnsi="Calibri"/>
          <w:sz w:val="24"/>
          <w:szCs w:val="24"/>
        </w:rPr>
        <w:t>Asystent Rodziny</w:t>
      </w:r>
    </w:p>
    <w:p>
      <w:pPr>
        <w:pStyle w:val="Normal"/>
        <w:spacing w:lineRule="auto" w:line="360"/>
        <w:jc w:val="both"/>
        <w:rPr/>
      </w:pPr>
      <w:r>
        <w:rPr>
          <w:rStyle w:val="Domylnaczcionkaakapitu"/>
          <w:rFonts w:eastAsia="Times New Roman" w:cs="Calibri" w:ascii="Calibri" w:hAnsi="Calibri"/>
          <w:color w:val="000000"/>
        </w:rPr>
        <w:t xml:space="preserve">Pracę z rodzinami, w których zdiagnozowano problemy opiekuńczo-wychowawcze w 2025 roku prowadziło </w:t>
      </w:r>
      <w:r>
        <w:rPr>
          <w:rStyle w:val="Domylnaczcionkaakapitu"/>
          <w:rFonts w:eastAsia="Times New Roman" w:cs="Calibri" w:ascii="Calibri" w:hAnsi="Calibri"/>
          <w:b/>
          <w:bCs/>
          <w:color w:val="000000"/>
        </w:rPr>
        <w:t xml:space="preserve"> 4 asystentów rodziny</w:t>
      </w:r>
      <w:r>
        <w:rPr>
          <w:rStyle w:val="Domylnaczcionkaakapitu"/>
          <w:rFonts w:eastAsia="Times New Roman" w:cs="Calibri" w:ascii="Calibri" w:hAnsi="Calibri"/>
          <w:color w:val="000000"/>
        </w:rPr>
        <w:t xml:space="preserve">. Pod opieką było </w:t>
      </w:r>
      <w:r>
        <w:rPr>
          <w:rStyle w:val="Domylnaczcionkaakapitu"/>
          <w:rFonts w:eastAsia="Times New Roman" w:cs="Calibri" w:ascii="Calibri" w:hAnsi="Calibri"/>
          <w:b/>
          <w:bCs/>
          <w:color w:val="000000"/>
        </w:rPr>
        <w:t>61 rodzin</w:t>
      </w:r>
      <w:r>
        <w:rPr>
          <w:rStyle w:val="Domylnaczcionkaakapitu"/>
          <w:rFonts w:eastAsia="Times New Roman" w:cs="Calibri" w:ascii="Calibri" w:hAnsi="Calibri"/>
          <w:color w:val="000000"/>
        </w:rPr>
        <w:t xml:space="preserve"> ( </w:t>
      </w:r>
      <w:r>
        <w:rPr>
          <w:rStyle w:val="Domylnaczcionkaakapitu"/>
          <w:rFonts w:eastAsia="Times New Roman" w:cs="Calibri" w:ascii="Calibri" w:hAnsi="Calibri"/>
          <w:b/>
          <w:bCs/>
          <w:color w:val="000000"/>
        </w:rPr>
        <w:t>144 dzieci</w:t>
      </w:r>
      <w:r>
        <w:rPr>
          <w:rStyle w:val="Domylnaczcionkaakapitu"/>
          <w:rFonts w:eastAsia="Times New Roman" w:cs="Calibri" w:ascii="Calibri" w:hAnsi="Calibri"/>
          <w:color w:val="000000"/>
        </w:rPr>
        <w:t xml:space="preserve"> w tych rodzinach).  </w:t>
      </w:r>
    </w:p>
    <w:p>
      <w:pPr>
        <w:pStyle w:val="Normal"/>
        <w:spacing w:lineRule="auto" w:line="360"/>
        <w:jc w:val="both"/>
        <w:rPr>
          <w:rFonts w:ascii="Calibri" w:hAnsi="Calibri" w:eastAsia="Times New Roman" w:cs="Calibri"/>
          <w:color w:val="000000"/>
        </w:rPr>
      </w:pPr>
      <w:r>
        <w:rPr>
          <w:rFonts w:eastAsia="Times New Roman" w:cs="Calibri" w:ascii="Calibri" w:hAnsi="Calibri"/>
          <w:color w:val="000000"/>
        </w:rPr>
        <w:t>W każdej rodzinie objętej tą formą pomocy opracowywany był plan pracy z rodziną, który był realizowany we współpracy z członkami rodzin, konsultacji z pracownikiem socjalnym, pedagogiem szkolnym czy też kuratorem rodziny.</w:t>
      </w:r>
    </w:p>
    <w:p>
      <w:pPr>
        <w:pStyle w:val="Normal"/>
        <w:spacing w:lineRule="auto" w:line="360"/>
        <w:jc w:val="both"/>
        <w:rPr>
          <w:rFonts w:ascii="Calibri" w:hAnsi="Calibri" w:eastAsia="Times New Roman" w:cs="Calibri"/>
          <w:color w:val="000000"/>
        </w:rPr>
      </w:pPr>
      <w:r>
        <w:rPr>
          <w:rFonts w:eastAsia="Times New Roman" w:cs="Calibri" w:ascii="Calibri" w:hAnsi="Calibri"/>
          <w:color w:val="000000"/>
        </w:rPr>
        <w:t>Indywidualna praca z  rodziną pozwoliła zaobserwować wzrost  poziomu motywacji klientów do podejmowania działań, wzrost poczucia własnej wartości oraz skuteczności.</w:t>
      </w:r>
    </w:p>
    <w:p>
      <w:pPr>
        <w:pStyle w:val="Normal"/>
        <w:spacing w:lineRule="auto" w:line="360"/>
        <w:jc w:val="both"/>
        <w:rPr>
          <w:rFonts w:ascii="Calibri" w:hAnsi="Calibri" w:eastAsia="Times New Roman" w:cs="Calibri"/>
          <w:color w:val="000000"/>
        </w:rPr>
      </w:pPr>
      <w:r>
        <w:rPr>
          <w:rFonts w:eastAsia="Times New Roman" w:cs="Calibri" w:ascii="Calibri" w:hAnsi="Calibri"/>
          <w:color w:val="000000"/>
        </w:rPr>
        <w:t>Rodziny objęte wsparciem asystenta rodziny  miały możliwość uczestnictwa w procesie pomocowym, współdecydowania i współodpowiedzialności.</w:t>
      </w:r>
    </w:p>
    <w:p>
      <w:pPr>
        <w:pStyle w:val="Normal"/>
        <w:spacing w:lineRule="auto" w:line="360"/>
        <w:rPr/>
      </w:pPr>
      <w:r>
        <w:rPr>
          <w:rStyle w:val="Domylnaczcionkaakapitu"/>
          <w:rFonts w:eastAsia="Times New Roman" w:cs="Calibri" w:ascii="Calibri" w:hAnsi="Calibri"/>
          <w:color w:val="000000"/>
        </w:rPr>
        <w:t xml:space="preserve">W </w:t>
      </w:r>
      <w:r>
        <w:rPr>
          <w:rStyle w:val="Domylnaczcionkaakapitu"/>
          <w:rFonts w:eastAsia="Times New Roman" w:cs="Calibri" w:ascii="Calibri" w:hAnsi="Calibri"/>
          <w:b/>
          <w:bCs/>
          <w:color w:val="000000"/>
        </w:rPr>
        <w:t xml:space="preserve"> </w:t>
      </w:r>
      <w:r>
        <w:rPr>
          <w:rStyle w:val="Domylnaczcionkaakapitu"/>
          <w:rFonts w:eastAsia="Times New Roman" w:cs="Calibri" w:ascii="Calibri" w:hAnsi="Calibri"/>
          <w:color w:val="000000"/>
        </w:rPr>
        <w:t>2025 roku asystenci  rodziny zakończyli pracę z 21</w:t>
      </w:r>
      <w:r>
        <w:rPr>
          <w:rStyle w:val="Domylnaczcionkaakapitu"/>
          <w:rFonts w:eastAsia="Times New Roman" w:cs="Calibri" w:ascii="Calibri" w:hAnsi="Calibri"/>
          <w:b/>
          <w:bCs/>
          <w:color w:val="000000"/>
        </w:rPr>
        <w:t xml:space="preserve"> </w:t>
      </w:r>
      <w:r>
        <w:rPr>
          <w:rStyle w:val="Domylnaczcionkaakapitu"/>
          <w:rFonts w:eastAsia="Times New Roman" w:cs="Calibri" w:ascii="Calibri" w:hAnsi="Calibri"/>
          <w:color w:val="000000"/>
        </w:rPr>
        <w:t>rodzinami:</w:t>
      </w:r>
    </w:p>
    <w:p>
      <w:pPr>
        <w:pStyle w:val="Normal"/>
        <w:spacing w:lineRule="auto" w:line="360"/>
        <w:rPr/>
      </w:pPr>
      <w:r>
        <w:rPr>
          <w:rStyle w:val="Domylnaczcionkaakapitu"/>
          <w:rFonts w:eastAsia="Times New Roman" w:cs="Calibri" w:ascii="Calibri" w:hAnsi="Calibri"/>
          <w:color w:val="000000"/>
        </w:rPr>
        <w:t xml:space="preserve">- </w:t>
      </w:r>
      <w:r>
        <w:rPr>
          <w:rStyle w:val="Domylnaczcionkaakapitu"/>
          <w:rFonts w:cs="Calibri" w:ascii="Calibri" w:hAnsi="Calibri"/>
        </w:rPr>
        <w:t>ze względu na osiągnięcie celów z 7 rodzinami,</w:t>
      </w:r>
    </w:p>
    <w:p>
      <w:pPr>
        <w:pStyle w:val="Normal"/>
        <w:spacing w:lineRule="auto" w:line="360"/>
        <w:rPr/>
      </w:pPr>
      <w:r>
        <w:rPr>
          <w:rStyle w:val="Domylnaczcionkaakapitu"/>
          <w:rFonts w:cs="Calibri" w:ascii="Calibri" w:hAnsi="Calibri"/>
        </w:rPr>
        <w:t>- ze względu na zaprzestanie współpracy z 14 rodzinami, z czego:</w:t>
      </w:r>
    </w:p>
    <w:p>
      <w:pPr>
        <w:pStyle w:val="Normal"/>
        <w:numPr>
          <w:ilvl w:val="0"/>
          <w:numId w:val="15"/>
        </w:numPr>
        <w:spacing w:lineRule="auto" w:line="360"/>
        <w:rPr/>
      </w:pPr>
      <w:r>
        <w:rPr>
          <w:rStyle w:val="Domylnaczcionkaakapitu"/>
          <w:rFonts w:cs="Calibri" w:ascii="Calibri" w:hAnsi="Calibri"/>
        </w:rPr>
        <w:t>6  rodzin - zrezygnowało ze współpracy z asystentem rodziny;</w:t>
      </w:r>
    </w:p>
    <w:p>
      <w:pPr>
        <w:pStyle w:val="Normal"/>
        <w:numPr>
          <w:ilvl w:val="0"/>
          <w:numId w:val="16"/>
        </w:numPr>
        <w:spacing w:lineRule="auto" w:line="360"/>
        <w:rPr/>
      </w:pPr>
      <w:r>
        <w:rPr>
          <w:rStyle w:val="Domylnaczcionkaakapitu"/>
          <w:rFonts w:cs="Calibri" w:ascii="Calibri" w:hAnsi="Calibri"/>
        </w:rPr>
        <w:t>1  rodzina - asystent rodziny zaprzestał  z rodziną współpracę ze względu na brak efektów;</w:t>
      </w:r>
    </w:p>
    <w:p>
      <w:pPr>
        <w:pStyle w:val="Normal"/>
        <w:numPr>
          <w:ilvl w:val="0"/>
          <w:numId w:val="17"/>
        </w:numPr>
        <w:spacing w:lineRule="auto" w:line="360"/>
        <w:rPr/>
      </w:pPr>
      <w:r>
        <w:rPr>
          <w:rStyle w:val="Domylnaczcionkaakapitu"/>
          <w:rFonts w:cs="Calibri" w:ascii="Calibri" w:hAnsi="Calibri"/>
        </w:rPr>
        <w:t>7  rodzin -  asystent rodziny zaprzestał  współpracę  ze względu na inne sytuacje ( np. zgon uczestnika, zmiana miejsca zamieszkania, osadzenie w zakładzie karnym).</w:t>
      </w:r>
    </w:p>
    <w:p>
      <w:pPr>
        <w:pStyle w:val="Normal"/>
        <w:spacing w:lineRule="auto" w:line="360"/>
        <w:jc w:val="both"/>
        <w:rPr>
          <w:rFonts w:ascii="Calibri" w:hAnsi="Calibri" w:cs="Calibri"/>
        </w:rPr>
      </w:pPr>
      <w:r>
        <w:rPr>
          <w:rFonts w:cs="Calibri" w:ascii="Calibri" w:hAnsi="Calibri"/>
        </w:rPr>
        <w:t>Ponadto dla 12 rodzin Sąd Rejonowy w Tomaszowie Mazowieckim wydał postanowienie do współpracy z asystentem rodziny.</w:t>
      </w:r>
    </w:p>
    <w:p>
      <w:pPr>
        <w:pStyle w:val="Normal"/>
        <w:spacing w:lineRule="auto" w:line="360"/>
        <w:jc w:val="both"/>
        <w:rPr>
          <w:rFonts w:ascii="Calibri" w:hAnsi="Calibri" w:cs="Calibri"/>
        </w:rPr>
      </w:pPr>
      <w:r>
        <w:rPr>
          <w:rFonts w:cs="Calibri" w:ascii="Calibri" w:hAnsi="Calibri"/>
        </w:rPr>
        <w:t>Po zakończeniu pracy z rodziną prowadzony był przez asystenta rodziny monitoring, który miał służyć ocenie jak funkcjonuje rodzina po zaprzestaniu współpracy z asystentem.</w:t>
      </w:r>
    </w:p>
    <w:p>
      <w:pPr>
        <w:pStyle w:val="Normal"/>
        <w:spacing w:lineRule="auto" w:line="360"/>
        <w:jc w:val="both"/>
        <w:rPr>
          <w:rFonts w:ascii="Calibri" w:hAnsi="Calibri" w:cs="Calibri"/>
        </w:rPr>
      </w:pPr>
      <w:r>
        <w:rPr>
          <w:rFonts w:cs="Calibri" w:ascii="Calibri" w:hAnsi="Calibri"/>
        </w:rPr>
        <w:t>Monitoring trwał średnio od 3  do 6 miesięcy.</w:t>
      </w:r>
    </w:p>
    <w:p>
      <w:pPr>
        <w:pStyle w:val="Normal"/>
        <w:spacing w:lineRule="auto" w:line="360"/>
        <w:jc w:val="both"/>
        <w:rPr/>
      </w:pPr>
      <w:r>
        <w:rPr>
          <w:rStyle w:val="Domylnaczcionkaakapitu"/>
          <w:rFonts w:eastAsia="Times New Roman" w:cs="Calibri" w:ascii="Calibri" w:hAnsi="Calibri"/>
          <w:color w:val="000000"/>
        </w:rPr>
        <w:tab/>
      </w:r>
    </w:p>
    <w:p>
      <w:pPr>
        <w:pStyle w:val="Nagwek3user"/>
        <w:tabs>
          <w:tab w:val="clear" w:pos="709"/>
          <w:tab w:val="left" w:pos="0" w:leader="none"/>
        </w:tabs>
        <w:spacing w:lineRule="auto" w:line="360"/>
        <w:ind w:hanging="0" w:start="0"/>
        <w:rPr>
          <w:rFonts w:ascii="Calibri" w:hAnsi="Calibri"/>
          <w:sz w:val="24"/>
          <w:szCs w:val="24"/>
        </w:rPr>
      </w:pPr>
      <w:r>
        <w:rPr>
          <w:rFonts w:ascii="Calibri" w:hAnsi="Calibri"/>
          <w:sz w:val="24"/>
          <w:szCs w:val="24"/>
        </w:rPr>
        <w:t>Mieszkania treningowe</w:t>
      </w:r>
    </w:p>
    <w:p>
      <w:pPr>
        <w:pStyle w:val="Normal"/>
        <w:spacing w:lineRule="auto" w:line="360"/>
        <w:jc w:val="both"/>
        <w:rPr>
          <w:rFonts w:ascii="Calibri" w:hAnsi="Calibri"/>
        </w:rPr>
      </w:pPr>
      <w:r>
        <w:rPr>
          <w:rFonts w:ascii="Calibri" w:hAnsi="Calibri"/>
        </w:rPr>
        <w:tab/>
        <w:t>W 2025 roku na terenie miasta Tomaszowa Maz. funkcjonowało 5 mieszkań treningowych, które położone są przy ul. Wschodniej, Jerozolimskiej,  Warszawskiej, ul. Legionów oraz ul. Szerokiej</w:t>
      </w:r>
    </w:p>
    <w:p>
      <w:pPr>
        <w:pStyle w:val="Normal"/>
        <w:spacing w:lineRule="auto" w:line="360"/>
        <w:jc w:val="both"/>
        <w:rPr/>
      </w:pPr>
      <w:r>
        <w:rPr>
          <w:rStyle w:val="Domylnaczcionkaakapitu"/>
          <w:rFonts w:ascii="Calibri" w:hAnsi="Calibri"/>
        </w:rPr>
        <w:tab/>
        <w:t xml:space="preserve">Z osobą skierowaną zwaną mieszkańcem zawierany jest kontakt mieszkaniowy w sprawie korzystania z mieszkania. Rodziny, których dochód nie przekracza progu kryterium dochodowego określonego w Ustawie o Pomocy Społecznej nie ponoszą żadnej odpłatności za eksploatację mieszkania treningowego. W sytuacjach, kiedy dochód rodziny przekroczy próg kryterium dochodowego, MOPS nalicza odpłatność za użytkowanie mieszkania treningowego zgodnie </w:t>
        <w:br/>
        <w:t xml:space="preserve">z Uchwałą nr XCI/709/2024 Rady Miasta Tomaszowa Maz. z dnia 25 kwietnia 2024 roku w sprawie szczegółowych zasad ponoszenia odpłatności za pobyt w mieszkaniach treningowych </w:t>
        <w:br/>
        <w:t xml:space="preserve">i wspomaganych prowadzonych przez Gminę Miasto Tomaszów Mazowiecki. </w:t>
        <w:br/>
        <w:t xml:space="preserve">Odpłatność ta ustalana jest procentowo i dotyczy samych kosztów eksploatacyjnych według stanu aktualnego zużycia, nie obejmuje kosztów czynszu, ubezpieczenia itp.  </w:t>
      </w:r>
    </w:p>
    <w:p>
      <w:pPr>
        <w:pStyle w:val="Normal"/>
        <w:spacing w:lineRule="auto" w:line="360"/>
        <w:jc w:val="both"/>
        <w:rPr/>
      </w:pPr>
      <w:r>
        <w:rPr>
          <w:rStyle w:val="Domylnaczcionkaakapitu"/>
          <w:rFonts w:ascii="Calibri" w:hAnsi="Calibri"/>
        </w:rPr>
        <w:tab/>
        <w:t xml:space="preserve">W ramach zadań własnych Ośrodek współpracuje z TTBS, Komisją Mieszkaniową, Powiatowym Urzędem Pracy oraz Urzędem Miasta. Pobyt w mieszkaniu treningowym przyznawany jest na podstawie decyzji administracyjnej. Mieszkańcy zobowiązani są do zameldowania </w:t>
        <w:br/>
        <w:t>w przyznanych lokalach na pobyt czasowy.</w:t>
      </w:r>
    </w:p>
    <w:p>
      <w:pPr>
        <w:pStyle w:val="Normal"/>
        <w:spacing w:lineRule="auto" w:line="360" w:before="57" w:after="57"/>
        <w:jc w:val="both"/>
        <w:rPr>
          <w:rFonts w:ascii="Calibri" w:hAnsi="Calibri"/>
          <w:b/>
          <w:bCs/>
        </w:rPr>
      </w:pPr>
      <w:r>
        <w:rPr>
          <w:rFonts w:ascii="Calibri" w:hAnsi="Calibri"/>
          <w:b/>
          <w:bCs/>
        </w:rPr>
      </w:r>
      <w:r>
        <w:br w:type="page"/>
      </w:r>
    </w:p>
    <w:p>
      <w:pPr>
        <w:pStyle w:val="Normal"/>
        <w:spacing w:lineRule="auto" w:line="360" w:before="57" w:after="57"/>
        <w:jc w:val="both"/>
        <w:rPr>
          <w:rFonts w:ascii="Calibri" w:hAnsi="Calibri"/>
          <w:b/>
          <w:bCs/>
        </w:rPr>
      </w:pPr>
      <w:r>
        <w:rPr>
          <w:rFonts w:ascii="Calibri" w:hAnsi="Calibri"/>
          <w:b/>
          <w:bCs/>
        </w:rPr>
        <w:t>Mieszkania wspomagane</w:t>
      </w:r>
    </w:p>
    <w:p>
      <w:pPr>
        <w:pStyle w:val="Normal"/>
        <w:spacing w:lineRule="auto" w:line="360"/>
        <w:jc w:val="both"/>
        <w:rPr>
          <w:rFonts w:ascii="Calibri" w:hAnsi="Calibri"/>
        </w:rPr>
      </w:pPr>
      <w:r>
        <w:rPr>
          <w:rFonts w:ascii="Calibri" w:hAnsi="Calibri"/>
        </w:rPr>
        <w:tab/>
        <w:t xml:space="preserve">Mieszkania wspomagane to forma pomocy Miejskiego Ośrodka Pomocy Społecznej przeznaczona dla osób zamieszkujących w Tomaszowie Mazowieckim, które ze względu na wiek, stan zdrowia lub niepełnosprawność wymagają opieki i wsparcia w związku z niemożliwością samodzielnego wykonywania co najmniej jednej z podstawowych czynności dnia codziennego. </w:t>
        <w:tab/>
      </w:r>
    </w:p>
    <w:p>
      <w:pPr>
        <w:pStyle w:val="Normal"/>
        <w:spacing w:lineRule="auto" w:line="360"/>
        <w:jc w:val="both"/>
        <w:rPr>
          <w:rFonts w:ascii="Calibri" w:hAnsi="Calibri"/>
        </w:rPr>
      </w:pPr>
      <w:r>
        <w:rPr>
          <w:rFonts w:ascii="Calibri" w:hAnsi="Calibri"/>
        </w:rPr>
        <w:tab/>
        <w:t xml:space="preserve">Wsparcie to ukierunkowane jest na seniorów tj. osoby po 50 roku życia oraz osoby </w:t>
        <w:br/>
        <w:t>z niepełnosprawnościami.</w:t>
      </w:r>
    </w:p>
    <w:p>
      <w:pPr>
        <w:pStyle w:val="Normal"/>
        <w:spacing w:lineRule="auto" w:line="360"/>
        <w:rPr>
          <w:rFonts w:ascii="Calibri" w:hAnsi="Calibri"/>
          <w:b/>
          <w:bCs/>
        </w:rPr>
      </w:pPr>
      <w:r>
        <w:rPr>
          <w:rFonts w:ascii="Calibri" w:hAnsi="Calibri"/>
          <w:b/>
          <w:bCs/>
        </w:rPr>
        <w:t>W 2025r wsparciem objęte zostały :</w:t>
      </w:r>
    </w:p>
    <w:p>
      <w:pPr>
        <w:pStyle w:val="Normal"/>
        <w:spacing w:lineRule="auto" w:line="360"/>
        <w:jc w:val="both"/>
        <w:rPr>
          <w:rFonts w:ascii="Calibri" w:hAnsi="Calibri"/>
        </w:rPr>
      </w:pPr>
      <w:r>
        <w:rPr>
          <w:rFonts w:ascii="Calibri" w:hAnsi="Calibri"/>
        </w:rPr>
        <w:t>- osoby zagrożone ubóstwem lub wykluczeniem społecznym doświadczające wielokrotnego wykluczenia  społecznego – 4 osoby;</w:t>
      </w:r>
    </w:p>
    <w:p>
      <w:pPr>
        <w:pStyle w:val="Normal"/>
        <w:spacing w:lineRule="auto" w:line="360"/>
        <w:jc w:val="both"/>
        <w:rPr>
          <w:rFonts w:ascii="Calibri" w:hAnsi="Calibri"/>
        </w:rPr>
      </w:pPr>
      <w:r>
        <w:rPr>
          <w:rFonts w:ascii="Calibri" w:hAnsi="Calibri"/>
        </w:rPr>
        <w:t>- osoby ze znacznym lub umiarkowanym stopniem niepełnosprawnościami – 6 osób.</w:t>
      </w:r>
    </w:p>
    <w:p>
      <w:pPr>
        <w:pStyle w:val="Normal"/>
        <w:spacing w:lineRule="auto" w:line="360"/>
        <w:jc w:val="both"/>
        <w:rPr>
          <w:rFonts w:ascii="Calibri" w:hAnsi="Calibri"/>
        </w:rPr>
      </w:pPr>
      <w:r>
        <w:rPr>
          <w:rFonts w:ascii="Calibri" w:hAnsi="Calibri"/>
        </w:rPr>
        <w:tab/>
        <w:t>Mieszkania wspomagane usytuowane są przy ul. Św. Antoniego.</w:t>
      </w:r>
    </w:p>
    <w:p>
      <w:pPr>
        <w:pStyle w:val="Normal"/>
        <w:spacing w:lineRule="auto" w:line="360"/>
        <w:jc w:val="both"/>
        <w:rPr/>
      </w:pPr>
      <w:r>
        <w:rPr>
          <w:rStyle w:val="Domylnaczcionkaakapitu"/>
          <w:rFonts w:ascii="Calibri" w:hAnsi="Calibri"/>
        </w:rPr>
        <w:t xml:space="preserve">W lokalach zamieszkiwało do 31 grudnia 2025 roku 10 osób : w tym </w:t>
      </w:r>
      <w:r>
        <w:rPr>
          <w:rStyle w:val="Domylnaczcionkaakapitu"/>
          <w:rFonts w:ascii="Calibri" w:hAnsi="Calibri"/>
          <w:b/>
          <w:bCs/>
        </w:rPr>
        <w:t>7 kobiet i 3 mężczyzn.</w:t>
      </w:r>
    </w:p>
    <w:p>
      <w:pPr>
        <w:pStyle w:val="Normal"/>
        <w:spacing w:lineRule="auto" w:line="360"/>
        <w:jc w:val="both"/>
        <w:rPr>
          <w:rFonts w:ascii="Calibri" w:hAnsi="Calibri"/>
        </w:rPr>
      </w:pPr>
      <w:r>
        <w:rPr>
          <w:rFonts w:ascii="Calibri" w:hAnsi="Calibri"/>
        </w:rPr>
        <w:t xml:space="preserve">Docelowo mieszkania wspomagane przeznaczone są dla 11 osób. Osoby przebywające </w:t>
        <w:br/>
        <w:t xml:space="preserve">w mieszkaniach wspomaganych obejmowane są usługami wspierającymi aktywność osoby </w:t>
        <w:br/>
        <w:t>i dotyczą nauki podtrzymywania lub powstrzymania regresu maksymalnego osiągalnego dla danej osoby, poziomu sprawności w zakresie samoobsługi, samodzielności życiowej, utrzymania lub rozwijania kontaktów społecznych oraz pełnienia ról społecznych, pomoc w wykonywaniu czynności niezbędnych w życiu codziennym, realizacji kontaktów społecznych, zagospodarowania czasu wolnego z wykorzystaniem usług dostępnych w społeczności lokalnej.</w:t>
      </w:r>
    </w:p>
    <w:p>
      <w:pPr>
        <w:pStyle w:val="Normal"/>
        <w:spacing w:lineRule="auto" w:line="360"/>
        <w:jc w:val="both"/>
        <w:rPr>
          <w:rFonts w:ascii="Calibri" w:hAnsi="Calibri"/>
        </w:rPr>
      </w:pPr>
      <w:r>
        <w:rPr>
          <w:rFonts w:ascii="Calibri" w:hAnsi="Calibri"/>
        </w:rPr>
        <w:t>Mieszkańcy mieszkań wspomaganych obejmowani  są pomocą w zakresie:</w:t>
      </w:r>
    </w:p>
    <w:p>
      <w:pPr>
        <w:pStyle w:val="Normal"/>
        <w:spacing w:lineRule="auto" w:line="360"/>
        <w:jc w:val="both"/>
        <w:rPr>
          <w:rFonts w:ascii="Calibri" w:hAnsi="Calibri"/>
        </w:rPr>
      </w:pPr>
      <w:r>
        <w:rPr>
          <w:rFonts w:ascii="Calibri" w:hAnsi="Calibri"/>
        </w:rPr>
        <w:t>-  wsparcia psychologicznego,</w:t>
      </w:r>
    </w:p>
    <w:p>
      <w:pPr>
        <w:pStyle w:val="Normal"/>
        <w:spacing w:lineRule="auto" w:line="360"/>
        <w:jc w:val="both"/>
        <w:rPr>
          <w:rFonts w:ascii="Calibri" w:hAnsi="Calibri"/>
        </w:rPr>
      </w:pPr>
      <w:r>
        <w:rPr>
          <w:rFonts w:ascii="Calibri" w:hAnsi="Calibri"/>
        </w:rPr>
        <w:t>-  usług opiekuńczych,</w:t>
      </w:r>
    </w:p>
    <w:p>
      <w:pPr>
        <w:pStyle w:val="Normal"/>
        <w:spacing w:lineRule="auto" w:line="360"/>
        <w:jc w:val="both"/>
        <w:rPr>
          <w:rFonts w:ascii="Calibri" w:hAnsi="Calibri"/>
        </w:rPr>
      </w:pPr>
      <w:r>
        <w:rPr>
          <w:rFonts w:ascii="Calibri" w:hAnsi="Calibri"/>
        </w:rPr>
        <w:t>-  pracy socjalnej,</w:t>
      </w:r>
    </w:p>
    <w:p>
      <w:pPr>
        <w:pStyle w:val="Normal"/>
        <w:spacing w:lineRule="auto" w:line="360"/>
        <w:jc w:val="both"/>
        <w:rPr>
          <w:rFonts w:ascii="Calibri" w:hAnsi="Calibri"/>
        </w:rPr>
      </w:pPr>
      <w:r>
        <w:rPr>
          <w:rFonts w:ascii="Calibri" w:hAnsi="Calibri"/>
        </w:rPr>
        <w:t>- poradnictwa specjalistycznego nakierowanego na umożliwienie samodzielnego rozwiązywania problemu lub wskazanie konkretnego rozwiązania i wytycznych  do jego zrealizowania,</w:t>
      </w:r>
    </w:p>
    <w:p>
      <w:pPr>
        <w:pStyle w:val="Normal"/>
        <w:spacing w:lineRule="auto" w:line="360"/>
        <w:jc w:val="both"/>
        <w:rPr>
          <w:rFonts w:ascii="Calibri" w:hAnsi="Calibri"/>
        </w:rPr>
      </w:pPr>
      <w:r>
        <w:rPr>
          <w:rFonts w:ascii="Calibri" w:hAnsi="Calibri"/>
        </w:rPr>
        <w:t>-  codziennego wyżywienia ( śniadanie i obiad jednodaniowy),</w:t>
      </w:r>
    </w:p>
    <w:p>
      <w:pPr>
        <w:pStyle w:val="Normal"/>
        <w:spacing w:lineRule="auto" w:line="360"/>
        <w:jc w:val="both"/>
        <w:rPr>
          <w:rFonts w:ascii="Calibri" w:hAnsi="Calibri"/>
        </w:rPr>
      </w:pPr>
      <w:r>
        <w:rPr>
          <w:rFonts w:ascii="Calibri" w:hAnsi="Calibri"/>
        </w:rPr>
        <w:t>-  częściowego zapewnienia środków czystości i środków higienicznych,</w:t>
      </w:r>
    </w:p>
    <w:p>
      <w:pPr>
        <w:pStyle w:val="Normal"/>
        <w:spacing w:lineRule="auto" w:line="360"/>
        <w:jc w:val="both"/>
        <w:rPr>
          <w:rFonts w:ascii="Calibri" w:hAnsi="Calibri"/>
        </w:rPr>
      </w:pPr>
      <w:r>
        <w:rPr>
          <w:rFonts w:ascii="Calibri" w:hAnsi="Calibri"/>
        </w:rPr>
        <w:t>-  przyborów na potrzeby uczestników np. ręczniki, pościel, naczynia stołowe.</w:t>
      </w:r>
    </w:p>
    <w:p>
      <w:pPr>
        <w:pStyle w:val="Normal"/>
        <w:spacing w:lineRule="auto" w:line="360"/>
        <w:jc w:val="both"/>
        <w:rPr/>
      </w:pPr>
      <w:r>
        <w:rPr>
          <w:rStyle w:val="Domylnaczcionkaakapitu"/>
          <w:rFonts w:ascii="Calibri" w:hAnsi="Calibri"/>
        </w:rPr>
        <w:tab/>
        <w:t>Pobyt w mieszkaniu wspomaganym wiąże się z ponoszeniem odpłatności, a jej wysokość ustalana jest proporcjonalnie do liczby osób zamieszkujących w danym lokalu oraz naliczana jest za każdy miesiąc pobytu w zależności od faktycznego zużycia mediów w danym lokalu na podstawie wpływu do tutejszego Ośrodka faktur z TTBS, PGE, Multimedia, za gospodarowanie odpadami  zgodnie z Uchwałą nr XCI/709/2024  Rady Miejskiej Tomaszowa Mazowieckiego z dnia 25 kwietnia 2024 roku i jest uzależniona od uzyskanego miesięcznego dochodu mieszkańca.</w:t>
      </w:r>
    </w:p>
    <w:p>
      <w:pPr>
        <w:pStyle w:val="Normal"/>
        <w:spacing w:lineRule="auto" w:line="360"/>
        <w:jc w:val="both"/>
        <w:rPr>
          <w:rFonts w:ascii="Calibri" w:hAnsi="Calibri"/>
        </w:rPr>
      </w:pPr>
      <w:r>
        <w:rPr>
          <w:rFonts w:ascii="Calibri" w:hAnsi="Calibri"/>
        </w:rPr>
        <w:tab/>
        <w:t xml:space="preserve"> Odpłatność za pobyt w 2025 roku ponoszona  była w następujących procentach:</w:t>
      </w:r>
    </w:p>
    <w:p>
      <w:pPr>
        <w:pStyle w:val="Normal"/>
        <w:spacing w:lineRule="auto" w:line="360"/>
        <w:jc w:val="both"/>
        <w:rPr>
          <w:rFonts w:ascii="Calibri" w:hAnsi="Calibri"/>
        </w:rPr>
      </w:pPr>
      <w:r>
        <w:rPr>
          <w:rFonts w:ascii="Calibri" w:hAnsi="Calibri"/>
        </w:rPr>
        <w:t>- 4 osoby – 25 %,</w:t>
      </w:r>
    </w:p>
    <w:p>
      <w:pPr>
        <w:pStyle w:val="Normal"/>
        <w:spacing w:lineRule="auto" w:line="360"/>
        <w:jc w:val="both"/>
        <w:rPr>
          <w:rFonts w:ascii="Calibri" w:hAnsi="Calibri"/>
        </w:rPr>
      </w:pPr>
      <w:r>
        <w:rPr>
          <w:rFonts w:ascii="Calibri" w:hAnsi="Calibri"/>
        </w:rPr>
        <w:t>- 1 osoba – 50 %,</w:t>
      </w:r>
    </w:p>
    <w:p>
      <w:pPr>
        <w:pStyle w:val="Normal"/>
        <w:spacing w:lineRule="auto" w:line="360"/>
        <w:jc w:val="both"/>
        <w:rPr>
          <w:rFonts w:ascii="Calibri" w:hAnsi="Calibri"/>
        </w:rPr>
      </w:pPr>
      <w:r>
        <w:rPr>
          <w:rFonts w:ascii="Calibri" w:hAnsi="Calibri"/>
        </w:rPr>
        <w:t>- 1 osoba – 100 %.</w:t>
      </w:r>
    </w:p>
    <w:p>
      <w:pPr>
        <w:pStyle w:val="Normal"/>
        <w:spacing w:lineRule="auto" w:line="360"/>
        <w:jc w:val="both"/>
        <w:rPr/>
      </w:pPr>
      <w:r>
        <w:rPr>
          <w:rStyle w:val="Domylnaczcionkaakapitu"/>
          <w:rFonts w:ascii="Calibri" w:hAnsi="Calibri"/>
        </w:rPr>
        <w:tab/>
        <w:t xml:space="preserve">Ponadto mieszkaniec ponosi koszty związane z pomocą usługową w miejscu zamieszkania zgodnie z Uchwałą nr LXXXIV/669/2023  Rady Miejskiej Tomaszowa Mazowieckiego z dnia  25 kwietnia 2024 roku w sprawie określenia szczegółowych warunków przyznawania i ustalania odpłatności za usługi opiekuńcze.  Pełny </w:t>
      </w:r>
      <w:r>
        <w:rPr>
          <w:rStyle w:val="Domylnaczcionkaakapitu"/>
          <w:rFonts w:ascii="Calibri" w:hAnsi="Calibri"/>
          <w:b/>
          <w:bCs/>
        </w:rPr>
        <w:t>koszt 1 roboczogodziny</w:t>
      </w:r>
      <w:r>
        <w:rPr>
          <w:rStyle w:val="Domylnaczcionkaakapitu"/>
          <w:rFonts w:ascii="Calibri" w:hAnsi="Calibri"/>
        </w:rPr>
        <w:t xml:space="preserve"> usług wynosi </w:t>
      </w:r>
      <w:r>
        <w:rPr>
          <w:rStyle w:val="Domylnaczcionkaakapitu"/>
          <w:rFonts w:ascii="Calibri" w:hAnsi="Calibri"/>
          <w:b/>
          <w:bCs/>
        </w:rPr>
        <w:t>15,00 zł</w:t>
      </w:r>
      <w:r>
        <w:rPr>
          <w:rStyle w:val="Domylnaczcionkaakapitu"/>
          <w:rFonts w:ascii="Calibri" w:hAnsi="Calibri"/>
        </w:rPr>
        <w:t>.</w:t>
      </w:r>
    </w:p>
    <w:p>
      <w:pPr>
        <w:pStyle w:val="Normal"/>
        <w:spacing w:lineRule="auto" w:line="360"/>
        <w:jc w:val="both"/>
        <w:rPr>
          <w:rFonts w:ascii="Calibri" w:hAnsi="Calibri"/>
        </w:rPr>
      </w:pPr>
      <w:r>
        <w:rPr>
          <w:rFonts w:ascii="Calibri" w:hAnsi="Calibri"/>
        </w:rPr>
      </w:r>
    </w:p>
    <w:p>
      <w:pPr>
        <w:pStyle w:val="Normal"/>
        <w:spacing w:lineRule="auto" w:line="360"/>
        <w:jc w:val="both"/>
        <w:rPr>
          <w:rFonts w:ascii="Calibri" w:hAnsi="Calibri"/>
        </w:rPr>
      </w:pPr>
      <w:r>
        <w:rPr>
          <w:rFonts w:ascii="Calibri" w:hAnsi="Calibri"/>
        </w:rPr>
        <w:tab/>
        <w:t>Mieszkańcy również objęci zostali pomocą usługową ze strony asystenta osobistego osoby niepełnosprawnej. Wsparciem zostały objęte 4 osoby posiadające umiarkowany lub znaczny stopień niepełnosprawności.</w:t>
      </w:r>
    </w:p>
    <w:p>
      <w:pPr>
        <w:pStyle w:val="Normal"/>
        <w:spacing w:lineRule="auto" w:line="360"/>
        <w:jc w:val="both"/>
        <w:rPr>
          <w:rFonts w:ascii="Calibri" w:hAnsi="Calibri"/>
        </w:rPr>
      </w:pPr>
      <w:r>
        <w:rPr>
          <w:rFonts w:ascii="Calibri" w:hAnsi="Calibri"/>
        </w:rPr>
        <w:tab/>
        <w:t>Wsparciem w postaci bezpłatnego wypożyczenia sprzętu rehabilitacyjnego (balkoniki, taborety pod prysznic, balkonik kroczący) objętych zostało  - 4 osoby.</w:t>
      </w:r>
    </w:p>
    <w:p>
      <w:pPr>
        <w:pStyle w:val="Normal"/>
        <w:spacing w:lineRule="auto" w:line="360"/>
        <w:jc w:val="both"/>
        <w:rPr>
          <w:rFonts w:ascii="Calibri" w:hAnsi="Calibri"/>
        </w:rPr>
      </w:pPr>
      <w:r>
        <w:rPr>
          <w:rFonts w:ascii="Calibri" w:hAnsi="Calibri"/>
        </w:rPr>
        <w:t>Dla mieszkańców mieszkań wspomaganych dostarczane były posiłki  w formie śniadań i gorącego posiłku.</w:t>
      </w:r>
    </w:p>
    <w:p>
      <w:pPr>
        <w:pStyle w:val="Normal"/>
        <w:spacing w:lineRule="auto" w:line="360"/>
        <w:jc w:val="both"/>
        <w:rPr>
          <w:rFonts w:ascii="Calibri" w:hAnsi="Calibri"/>
        </w:rPr>
      </w:pPr>
      <w:r>
        <w:rPr>
          <w:rFonts w:ascii="Calibri" w:hAnsi="Calibri"/>
        </w:rPr>
        <w:tab/>
        <w:t xml:space="preserve">               </w:t>
      </w:r>
    </w:p>
    <w:p>
      <w:pPr>
        <w:pStyle w:val="Nagwek2user"/>
        <w:tabs>
          <w:tab w:val="clear" w:pos="709"/>
          <w:tab w:val="left" w:pos="0" w:leader="none"/>
        </w:tabs>
        <w:spacing w:lineRule="auto" w:line="360"/>
        <w:ind w:hanging="0" w:start="0"/>
        <w:jc w:val="both"/>
        <w:rPr/>
      </w:pPr>
      <w:r>
        <w:rPr>
          <w:rStyle w:val="Domylnaczcionkaakapitu"/>
          <w:rFonts w:ascii="Calibri" w:hAnsi="Calibri"/>
          <w:color w:val="000000"/>
          <w:sz w:val="24"/>
          <w:szCs w:val="24"/>
        </w:rPr>
        <w:t xml:space="preserve">Program „ Korpus Wsparcia Seniorów”  na rok 2025 </w:t>
      </w:r>
      <w:r>
        <w:rPr>
          <w:rStyle w:val="Domylnaczcionkaakapitu"/>
          <w:rFonts w:ascii="Calibri" w:hAnsi="Calibri"/>
          <w:color w:val="000000"/>
          <w:sz w:val="28"/>
          <w:szCs w:val="28"/>
        </w:rPr>
        <w:t xml:space="preserve">      </w:t>
      </w:r>
    </w:p>
    <w:p>
      <w:pPr>
        <w:pStyle w:val="BodyText"/>
        <w:spacing w:lineRule="auto" w:line="360" w:before="0" w:after="0"/>
        <w:jc w:val="both"/>
        <w:rPr/>
      </w:pPr>
      <w:r>
        <w:rPr>
          <w:rStyle w:val="Domylnaczcionkaakapitu"/>
          <w:rFonts w:cs="Calibri" w:ascii="Calibri" w:hAnsi="Calibri"/>
          <w:color w:val="000000"/>
        </w:rPr>
        <w:tab/>
        <w:t>Adresatami pośrednimi tego programu są seniorzy w wieku 60 lat i więcej, którzy mają problemy z samodzielnym funkcjonowaniem ze względu na stan zdrowia, prowadzący samodzielne gospodarstwa domowe lub mieszkający z osobami bliskimi, które nie są w stanie zapewnić im wystarczającego wsparcia.</w:t>
      </w:r>
    </w:p>
    <w:p>
      <w:pPr>
        <w:pStyle w:val="BodyText"/>
        <w:spacing w:lineRule="auto" w:line="360" w:before="0" w:after="0"/>
        <w:jc w:val="both"/>
        <w:rPr/>
      </w:pPr>
      <w:r>
        <w:rPr>
          <w:rStyle w:val="Domylnaczcionkaakapitu"/>
          <w:rFonts w:cs="Calibri" w:ascii="Calibri" w:hAnsi="Calibri"/>
          <w:color w:val="000000"/>
        </w:rPr>
        <w:t xml:space="preserve">Miejski Ośrodek Pomocy Społecznej </w:t>
      </w:r>
      <w:r>
        <w:rPr>
          <w:rStyle w:val="Domylnaczcionkaakapitu"/>
          <w:rFonts w:ascii="Calibri" w:hAnsi="Calibri"/>
          <w:color w:val="000000"/>
        </w:rPr>
        <w:t xml:space="preserve"> brał czynny udział w 2025 roku w w/w programie.</w:t>
      </w:r>
    </w:p>
    <w:p>
      <w:pPr>
        <w:pStyle w:val="Normal"/>
        <w:spacing w:lineRule="auto" w:line="360"/>
        <w:jc w:val="both"/>
        <w:rPr/>
      </w:pPr>
      <w:r>
        <w:rPr>
          <w:rStyle w:val="Domylnaczcionkaakapitu"/>
          <w:rFonts w:ascii="Calibri" w:hAnsi="Calibri"/>
          <w:b/>
          <w:bCs/>
          <w:color w:val="000000"/>
        </w:rPr>
        <w:t>Moduł I</w:t>
      </w:r>
      <w:r>
        <w:rPr>
          <w:rStyle w:val="Domylnaczcionkaakapitu"/>
          <w:rFonts w:ascii="Calibri" w:hAnsi="Calibri"/>
          <w:color w:val="000000"/>
        </w:rPr>
        <w:t xml:space="preserve"> </w:t>
      </w:r>
      <w:r>
        <w:rPr>
          <w:rStyle w:val="Domylnaczcionkaakapitu"/>
          <w:rFonts w:ascii="Calibri" w:hAnsi="Calibri"/>
          <w:b/>
          <w:bCs/>
          <w:color w:val="000000"/>
        </w:rPr>
        <w:t>- 5 osób zostało objętych pomocą w formie usług sąsiedzkich</w:t>
      </w:r>
      <w:r>
        <w:rPr>
          <w:rStyle w:val="Domylnaczcionkaakapitu"/>
          <w:rFonts w:ascii="Calibri" w:hAnsi="Calibri"/>
          <w:color w:val="000000"/>
        </w:rPr>
        <w:t xml:space="preserve"> w ramach realizacji Programu ,,Korpus Wsparcia Seniora” na rok 2025.</w:t>
      </w:r>
    </w:p>
    <w:p>
      <w:pPr>
        <w:pStyle w:val="Normal"/>
        <w:spacing w:lineRule="auto" w:line="360"/>
        <w:jc w:val="both"/>
        <w:rPr/>
      </w:pPr>
      <w:r>
        <w:rPr>
          <w:rStyle w:val="Domylnaczcionkaakapitu"/>
          <w:rFonts w:ascii="Calibri" w:hAnsi="Calibri"/>
          <w:b/>
          <w:bCs/>
          <w:color w:val="000000"/>
        </w:rPr>
        <w:t>Moduł II</w:t>
      </w:r>
      <w:r>
        <w:rPr>
          <w:rStyle w:val="Domylnaczcionkaakapitu"/>
          <w:rFonts w:ascii="Calibri" w:hAnsi="Calibri"/>
          <w:color w:val="000000"/>
        </w:rPr>
        <w:t xml:space="preserve">  - </w:t>
      </w:r>
      <w:r>
        <w:rPr>
          <w:rStyle w:val="Domylnaczcionkaakapitu"/>
          <w:rFonts w:cs="Calibri" w:ascii="Calibri" w:hAnsi="Calibri"/>
          <w:color w:val="000000"/>
        </w:rPr>
        <w:t xml:space="preserve">z pozyskanych środków finansowych zakupiono </w:t>
      </w:r>
      <w:r>
        <w:rPr>
          <w:rStyle w:val="Domylnaczcionkaakapitu"/>
          <w:rFonts w:cs="Calibri" w:ascii="Calibri" w:hAnsi="Calibri"/>
          <w:b/>
          <w:bCs/>
          <w:color w:val="000000"/>
        </w:rPr>
        <w:t>60 opasek</w:t>
      </w:r>
      <w:r>
        <w:rPr>
          <w:rStyle w:val="Domylnaczcionkaakapitu"/>
          <w:rFonts w:cs="Calibri" w:ascii="Calibri" w:hAnsi="Calibri"/>
          <w:color w:val="000000"/>
        </w:rPr>
        <w:t xml:space="preserve"> bezpieczeństwa SOS – 40 nowych opasek zastąpiło przestarzały sprzęt z 2022 roku, a 20 opasek wdrożono w życie </w:t>
        <w:br/>
        <w:t>i zabezpieczono nimi przede wszystkim seniorów, w tym osoby samotne i schorowane.</w:t>
      </w:r>
    </w:p>
    <w:p>
      <w:pPr>
        <w:pStyle w:val="Normal"/>
        <w:spacing w:lineRule="auto" w:line="360"/>
        <w:jc w:val="both"/>
        <w:rPr/>
      </w:pPr>
      <w:r>
        <w:rPr>
          <w:rStyle w:val="Domylnaczcionkaakapitu"/>
          <w:rFonts w:cs="Calibri" w:ascii="Calibri" w:hAnsi="Calibri"/>
        </w:rPr>
        <w:t>Ponadto opłacono abonament centrum powiadomienia ratunkowego za 224 opaski bezpieczeństwa SOS, jako kontynuacja powyższego programu za lata 2022 – 2024.</w:t>
      </w:r>
    </w:p>
    <w:p>
      <w:pPr>
        <w:pStyle w:val="Normal"/>
        <w:spacing w:lineRule="auto" w:line="360"/>
        <w:jc w:val="both"/>
        <w:rPr/>
      </w:pPr>
      <w:r>
        <w:rPr>
          <w:rStyle w:val="Domylnaczcionkaakapitu"/>
          <w:rFonts w:cs="Calibri" w:ascii="Calibri" w:hAnsi="Calibri"/>
          <w:b/>
          <w:bCs/>
          <w:color w:val="000000"/>
        </w:rPr>
        <w:t>Program „ Asystent osobisty osoby z niepełnosprawnością” na rok 2025</w:t>
      </w:r>
    </w:p>
    <w:p>
      <w:pPr>
        <w:pStyle w:val="Normal"/>
        <w:spacing w:lineRule="auto" w:line="360"/>
        <w:jc w:val="both"/>
        <w:rPr/>
      </w:pPr>
      <w:r>
        <w:rPr>
          <w:rStyle w:val="Domylnaczcionkaakapitu"/>
          <w:rFonts w:cs="Calibri" w:ascii="Calibri" w:hAnsi="Calibri"/>
          <w:color w:val="000000"/>
        </w:rPr>
        <w:tab/>
        <w:t>Głównym celem Programu jest zapewnienie dostępności do usług asystencji osobistej, tj. wsparcia  w wykonywaniu codziennych czynności oraz funkcjonowaniu w życiu społecznym osób  niepełnosprawnych. Adresatami Programu są:</w:t>
      </w:r>
    </w:p>
    <w:p>
      <w:pPr>
        <w:pStyle w:val="Normal"/>
        <w:spacing w:lineRule="auto" w:line="360"/>
        <w:jc w:val="both"/>
        <w:rPr>
          <w:rFonts w:ascii="Calibri" w:hAnsi="Calibri" w:cs="Calibri"/>
          <w:color w:val="000000"/>
        </w:rPr>
      </w:pPr>
      <w:r>
        <w:rPr>
          <w:rFonts w:cs="Calibri" w:ascii="Calibri" w:hAnsi="Calibri"/>
          <w:color w:val="000000"/>
        </w:rPr>
        <w:t>1) dzieci do ukończenia 16. roku życia posiadające orzeczenie o niepełnosprawności łącznie ze wskazaniami w pkt 7 i 8 w orzeczeniu o niepełnosprawności – konieczności stałej lub długotrwałej opieki lub pomocy innej osoby w związku ze znacznie ograniczoną możliwością samodzielnej egzystencji oraz konieczności stałego współudziału na co dzień opiekuna dziecka w procesie jego leczenia, rehabilitacji i edukacji oraz</w:t>
      </w:r>
    </w:p>
    <w:p>
      <w:pPr>
        <w:pStyle w:val="Normal"/>
        <w:spacing w:lineRule="auto" w:line="360"/>
        <w:jc w:val="both"/>
        <w:rPr>
          <w:rFonts w:ascii="Calibri" w:hAnsi="Calibri" w:cs="Calibri"/>
          <w:color w:val="000000"/>
        </w:rPr>
      </w:pPr>
      <w:r>
        <w:rPr>
          <w:rFonts w:cs="Calibri" w:ascii="Calibri" w:hAnsi="Calibri"/>
          <w:color w:val="000000"/>
        </w:rPr>
        <w:t>2) osoby z niepełnosprawnościami posiadające orzeczenie:</w:t>
      </w:r>
    </w:p>
    <w:p>
      <w:pPr>
        <w:pStyle w:val="Normal"/>
        <w:spacing w:lineRule="auto" w:line="360"/>
        <w:jc w:val="both"/>
        <w:rPr>
          <w:rFonts w:ascii="Calibri" w:hAnsi="Calibri" w:cs="Calibri"/>
          <w:color w:val="000000"/>
        </w:rPr>
      </w:pPr>
      <w:r>
        <w:rPr>
          <w:rFonts w:cs="Calibri" w:ascii="Calibri" w:hAnsi="Calibri"/>
          <w:color w:val="000000"/>
        </w:rPr>
        <w:t>a) o znacznym stopniu niepełnosprawności albo</w:t>
      </w:r>
    </w:p>
    <w:p>
      <w:pPr>
        <w:pStyle w:val="Normal"/>
        <w:spacing w:lineRule="auto" w:line="360"/>
        <w:jc w:val="both"/>
        <w:rPr>
          <w:rFonts w:ascii="Calibri" w:hAnsi="Calibri" w:cs="Calibri"/>
          <w:color w:val="000000"/>
        </w:rPr>
      </w:pPr>
      <w:r>
        <w:rPr>
          <w:rFonts w:cs="Calibri" w:ascii="Calibri" w:hAnsi="Calibri"/>
          <w:color w:val="000000"/>
        </w:rPr>
        <w:t>b) o umiarkowanym stopniu niepełnosprawności albo</w:t>
      </w:r>
    </w:p>
    <w:p>
      <w:pPr>
        <w:pStyle w:val="Normal"/>
        <w:spacing w:lineRule="auto" w:line="360"/>
        <w:jc w:val="both"/>
        <w:rPr>
          <w:rFonts w:ascii="Calibri" w:hAnsi="Calibri" w:cs="Calibri"/>
          <w:color w:val="000000"/>
        </w:rPr>
      </w:pPr>
      <w:r>
        <w:rPr>
          <w:rFonts w:cs="Calibri" w:ascii="Calibri" w:hAnsi="Calibri"/>
          <w:color w:val="000000"/>
        </w:rPr>
        <w:t xml:space="preserve">c) traktowane na równi z orzeczeniami wymienionymi w lit. a i b, zgodnie z art. 5 i art. 62 ustawy </w:t>
        <w:br/>
        <w:t>z dnia 27 sierpnia 1997 r. o rehabilitacji zawodowej i społecznej oraz zatrudnianiu osób niepełnosprawnych.</w:t>
      </w:r>
    </w:p>
    <w:p>
      <w:pPr>
        <w:pStyle w:val="Normal"/>
        <w:spacing w:lineRule="auto" w:line="360"/>
        <w:jc w:val="both"/>
        <w:rPr/>
      </w:pPr>
      <w:r>
        <w:rPr>
          <w:rStyle w:val="Domylnaczcionkaakapitu"/>
          <w:rFonts w:ascii="Calibri" w:hAnsi="Calibri"/>
          <w:color w:val="000000"/>
        </w:rPr>
        <w:tab/>
        <w:t>Usługi asystenckie polegały na wspieraniu uczestników w codziennym funkcjonowaniu, przemieszczaniu się oraz aktywizacji społecznej. Łącznie zrealizowano</w:t>
      </w:r>
      <w:r>
        <w:rPr>
          <w:rStyle w:val="Domylnaczcionkaakapitu"/>
          <w:rFonts w:ascii="Calibri" w:hAnsi="Calibri"/>
          <w:b/>
          <w:bCs/>
          <w:color w:val="000000"/>
        </w:rPr>
        <w:t xml:space="preserve"> 4 369 godzin</w:t>
      </w:r>
      <w:r>
        <w:rPr>
          <w:rStyle w:val="Domylnaczcionkaakapitu"/>
          <w:rFonts w:ascii="Calibri" w:hAnsi="Calibri"/>
          <w:color w:val="000000"/>
        </w:rPr>
        <w:t xml:space="preserve"> wsparcia dla </w:t>
        <w:br/>
      </w:r>
      <w:r>
        <w:rPr>
          <w:rStyle w:val="Domylnaczcionkaakapitu"/>
          <w:rFonts w:ascii="Calibri" w:hAnsi="Calibri"/>
          <w:b/>
          <w:bCs/>
          <w:color w:val="000000"/>
        </w:rPr>
        <w:t>9 osób niepełnosprawnych</w:t>
      </w:r>
      <w:r>
        <w:rPr>
          <w:rStyle w:val="Domylnaczcionkaakapitu"/>
          <w:rFonts w:ascii="Calibri" w:hAnsi="Calibri"/>
          <w:color w:val="000000"/>
        </w:rPr>
        <w:t>.</w:t>
      </w:r>
    </w:p>
    <w:p>
      <w:pPr>
        <w:pStyle w:val="Normal"/>
        <w:spacing w:lineRule="auto" w:line="360"/>
        <w:jc w:val="both"/>
        <w:rPr/>
      </w:pPr>
      <w:r>
        <w:rPr>
          <w:rStyle w:val="Domylnaczcionkaakapitu"/>
          <w:rFonts w:ascii="Calibri" w:hAnsi="Calibri"/>
          <w:color w:val="000000"/>
        </w:rPr>
        <w:tab/>
        <w:t>Program przyczynił się do poprawy jakości życia uczestników oraz zwiększenia ich samodzielności, a także odciążenia opiekunów.</w:t>
      </w:r>
    </w:p>
    <w:p>
      <w:pPr>
        <w:pStyle w:val="Normal"/>
        <w:spacing w:lineRule="auto" w:line="360"/>
        <w:jc w:val="both"/>
        <w:rPr/>
      </w:pPr>
      <w:r>
        <w:rPr>
          <w:rStyle w:val="Domylnaczcionkaakapitu"/>
          <w:rFonts w:cs="Calibri" w:ascii="Calibri" w:hAnsi="Calibri"/>
          <w:color w:val="000000"/>
        </w:rPr>
        <w:t>Zasadne jest kontynuowanie programu w kolejnych latach oraz zwiększenie liczby godzin wsparcia.</w:t>
      </w:r>
    </w:p>
    <w:p>
      <w:pPr>
        <w:pStyle w:val="BodyText"/>
        <w:spacing w:lineRule="auto" w:line="360"/>
        <w:jc w:val="both"/>
        <w:rPr/>
      </w:pPr>
      <w:r>
        <w:rPr/>
      </w:r>
    </w:p>
    <w:p>
      <w:pPr>
        <w:pStyle w:val="BodyText"/>
        <w:spacing w:lineRule="auto" w:line="360"/>
        <w:jc w:val="both"/>
        <w:rPr/>
      </w:pPr>
      <w:r>
        <w:rPr>
          <w:rStyle w:val="Domylnaczcionkaakapitu"/>
          <w:rFonts w:ascii="Calibri" w:hAnsi="Calibri"/>
          <w:b/>
          <w:bCs/>
        </w:rPr>
        <w:t>Dzienne Domy Pomocy</w:t>
      </w:r>
    </w:p>
    <w:p>
      <w:pPr>
        <w:pStyle w:val="Normal"/>
        <w:spacing w:lineRule="auto" w:line="360"/>
        <w:ind w:firstLine="709"/>
        <w:jc w:val="both"/>
        <w:rPr/>
      </w:pPr>
      <w:r>
        <w:rPr>
          <w:rStyle w:val="Domylnaczcionkaakapitu"/>
          <w:rFonts w:ascii="Calibri" w:hAnsi="Calibri"/>
        </w:rPr>
        <w:t>Dzienne Domy Pomocy działają w ramach projektu „Tomaszowskie Centrum Usług Środowiskowych” nr FELD.07.09-IP.01-0005/23 współfinansowanego ze środków Europejskiego Funduszu Społecznego Plus w ramach programu regionalnego Fundusze Europejskie dla Łódzkiego na lata 2021-2027.</w:t>
        <w:tab/>
      </w:r>
    </w:p>
    <w:p>
      <w:pPr>
        <w:pStyle w:val="Normal"/>
        <w:spacing w:lineRule="auto" w:line="360"/>
        <w:ind w:firstLine="709"/>
        <w:jc w:val="both"/>
        <w:rPr/>
      </w:pPr>
      <w:r>
        <w:rPr>
          <w:rStyle w:val="Domylnaczcionkaakapitu"/>
          <w:rFonts w:ascii="Calibri" w:hAnsi="Calibri"/>
        </w:rPr>
        <w:t xml:space="preserve">Dzienne Domy Pomocy </w:t>
      </w:r>
      <w:r>
        <w:rPr>
          <w:rStyle w:val="Domylnaczcionkaakapitu"/>
          <w:rFonts w:cs="Calibri" w:ascii="Calibri" w:hAnsi="Calibri"/>
        </w:rPr>
        <w:t>to nowoczesna przestrzeń dla seniorów, którzy korzystają z różnego rodzaju wsparcia oraz aktywnie i przyjemnie spędzają czas. W placówce każdy z uczestników znajduje coś dla siebie, i tym samym rozwija swoje zainteresowania pod kierunkiem wykwalifikowanego personelu. W placówce seniorzy mają zapewniony posiłek tj. śniadanie, obiad oraz kawę, herbatę, słodycze. Każdy z trzech domów dysponuje 30 miejscami.</w:t>
      </w:r>
    </w:p>
    <w:p>
      <w:pPr>
        <w:pStyle w:val="Normal"/>
        <w:spacing w:lineRule="auto" w:line="360"/>
        <w:jc w:val="both"/>
        <w:rPr>
          <w:rFonts w:ascii="Calibri" w:hAnsi="Calibri" w:cs="Calibri"/>
        </w:rPr>
      </w:pPr>
      <w:r>
        <w:rPr>
          <w:rFonts w:cs="Calibri" w:ascii="Calibri" w:hAnsi="Calibri"/>
        </w:rPr>
        <w:t xml:space="preserve">DDP prowadzą swoją działalność w dniach od poniedziałku do piątku w godzinach od 7:30 </w:t>
        <w:br/>
        <w:t>do 15:30.</w:t>
      </w:r>
    </w:p>
    <w:p>
      <w:pPr>
        <w:pStyle w:val="Normal"/>
        <w:spacing w:lineRule="auto" w:line="360"/>
        <w:jc w:val="both"/>
        <w:rPr/>
      </w:pPr>
      <w:r>
        <w:rPr>
          <w:rStyle w:val="Domylnaczcionkaakapitu"/>
          <w:rFonts w:ascii="Calibri" w:hAnsi="Calibri"/>
        </w:rPr>
        <w:t>W okresie od stycznia do  grudnia 2025 roku miesięczna pełna odpłatność wynosiła 1 116,64 z</w:t>
      </w:r>
      <w:r>
        <w:rPr>
          <w:rStyle w:val="Domylnaczcionkaakapitu"/>
          <w:rFonts w:cs="Arial" w:ascii="Calibri" w:hAnsi="Calibri"/>
        </w:rPr>
        <w:t>ł.</w:t>
      </w:r>
    </w:p>
    <w:p>
      <w:pPr>
        <w:pStyle w:val="Normal"/>
        <w:spacing w:lineRule="auto" w:line="360"/>
        <w:jc w:val="both"/>
        <w:rPr/>
      </w:pPr>
      <w:r>
        <w:rPr>
          <w:rStyle w:val="Domylnaczcionkaakapitu"/>
          <w:rFonts w:cs="Arial" w:ascii="Calibri" w:hAnsi="Calibri"/>
        </w:rPr>
        <w:t xml:space="preserve">W 2025 roku uczestnicy Dziennych Domów Pomocy ponosili procentową odpłatność za pobyt </w:t>
        <w:br/>
        <w:t xml:space="preserve">w DDP  zgodnie z tabelą odpłatności zawartą w Uchwale Nr LXVII/600/2018 z dnia 30 sierpnia </w:t>
        <w:br/>
        <w:t>2018 r. Rady Miejskiej w sprawie szczegółowych zasad ponoszenia odpłatności w Domu Dziennego Pobytu w Tomaszowie Mazowieckim.</w:t>
      </w:r>
    </w:p>
    <w:p>
      <w:pPr>
        <w:pStyle w:val="Normal"/>
        <w:spacing w:lineRule="auto" w:line="360"/>
        <w:jc w:val="both"/>
        <w:rPr/>
      </w:pPr>
      <w:r>
        <w:rPr>
          <w:rStyle w:val="Domylnaczcionkaakapitu"/>
          <w:rFonts w:ascii="Calibri" w:hAnsi="Calibri"/>
          <w:b/>
          <w:bCs/>
        </w:rPr>
        <w:t xml:space="preserve">Dzienny Dom Pomocy  I  przy ul. Św. Antoniego 55 </w:t>
      </w:r>
      <w:r>
        <w:rPr>
          <w:rStyle w:val="Domylnaczcionkaakapitu"/>
          <w:rFonts w:ascii="Calibri" w:hAnsi="Calibri"/>
        </w:rPr>
        <w:t>funkcjonuje od dnia 8 października 2018 roku.</w:t>
        <w:br/>
        <w:t xml:space="preserve">W roku 2025  wydano  49 decyzji kierujących do DDP I, natomiast w ciągu roku uchylono decyzje dla 8 osób z powodu rezygnacji uczestnika. W zajęciach organizowanych przez DDP  brało udział </w:t>
        <w:br/>
        <w:t>30 uczestników, tj. 25 kobiet i 5 mężczyzn.</w:t>
      </w:r>
    </w:p>
    <w:p>
      <w:pPr>
        <w:pStyle w:val="Normal"/>
        <w:spacing w:lineRule="auto" w:line="360"/>
        <w:jc w:val="both"/>
        <w:rPr/>
      </w:pPr>
      <w:r>
        <w:rPr>
          <w:rStyle w:val="Domylnaczcionkaakapitu"/>
          <w:rFonts w:ascii="Calibri" w:hAnsi="Calibri"/>
          <w:b/>
          <w:bCs/>
        </w:rPr>
        <w:t>Dzienny Dom Pomocy II  przy ul. Piłsudskiego 34</w:t>
      </w:r>
      <w:r>
        <w:rPr>
          <w:rStyle w:val="Domylnaczcionkaakapitu"/>
          <w:rFonts w:ascii="Calibri" w:hAnsi="Calibri"/>
        </w:rPr>
        <w:t xml:space="preserve"> swoją działalność rozpoczął od dnia 15 lutego 2021 roku. W 2025 roku wydano 7 decyzji kierujących osoby do DDP II.</w:t>
      </w:r>
    </w:p>
    <w:p>
      <w:pPr>
        <w:pStyle w:val="Normal"/>
        <w:spacing w:lineRule="auto" w:line="360"/>
        <w:jc w:val="both"/>
        <w:rPr>
          <w:rFonts w:ascii="Calibri" w:hAnsi="Calibri"/>
        </w:rPr>
      </w:pPr>
      <w:r>
        <w:rPr>
          <w:rFonts w:ascii="Calibri" w:hAnsi="Calibri"/>
        </w:rPr>
        <w:t>W całym roku uchylono 7 decyzji ( 2 z powodu zgonu uczestników, 5 z powodu rezygnacji).</w:t>
      </w:r>
    </w:p>
    <w:p>
      <w:pPr>
        <w:pStyle w:val="Normal"/>
        <w:spacing w:lineRule="auto" w:line="360"/>
        <w:jc w:val="both"/>
        <w:rPr>
          <w:rFonts w:ascii="Calibri" w:hAnsi="Calibri"/>
        </w:rPr>
      </w:pPr>
      <w:r>
        <w:rPr>
          <w:rFonts w:ascii="Calibri" w:hAnsi="Calibri"/>
        </w:rPr>
        <w:t>W zajęciach DDP II w 2025 roku brało udział 30 uczestników tj. 22 kobiety i 8 mężczyzn.</w:t>
      </w:r>
    </w:p>
    <w:p>
      <w:pPr>
        <w:pStyle w:val="Normalny"/>
        <w:spacing w:lineRule="auto" w:line="360"/>
        <w:jc w:val="both"/>
        <w:rPr/>
      </w:pPr>
      <w:r>
        <w:rPr>
          <w:rStyle w:val="Domylnaczcionkaakapitu"/>
          <w:rFonts w:cs="Calibri" w:ascii="Calibri" w:hAnsi="Calibri"/>
          <w:b/>
          <w:bCs/>
        </w:rPr>
        <w:t>Dzienny Dom Pomocy III</w:t>
      </w:r>
      <w:r>
        <w:rPr>
          <w:rStyle w:val="Domylnaczcionkaakapitu"/>
          <w:rFonts w:cs="Calibri" w:ascii="Calibri" w:hAnsi="Calibri"/>
        </w:rPr>
        <w:t xml:space="preserve"> </w:t>
      </w:r>
      <w:r>
        <w:rPr>
          <w:rStyle w:val="Domylnaczcionkaakapitu"/>
          <w:rFonts w:cs="Calibri" w:ascii="Calibri" w:hAnsi="Calibri"/>
          <w:b/>
          <w:bCs/>
          <w:color w:val="650953"/>
        </w:rPr>
        <w:t>przy ul. Niskiej 81</w:t>
      </w:r>
      <w:r>
        <w:rPr>
          <w:rStyle w:val="Domylnaczcionkaakapitu"/>
          <w:rFonts w:cs="Calibri" w:ascii="Calibri" w:hAnsi="Calibri"/>
        </w:rPr>
        <w:t xml:space="preserve"> działa od dnia 24 marca 2025 roku.</w:t>
      </w:r>
    </w:p>
    <w:p>
      <w:pPr>
        <w:pStyle w:val="Normalny"/>
        <w:spacing w:lineRule="auto" w:line="360"/>
        <w:jc w:val="both"/>
        <w:rPr>
          <w:rFonts w:ascii="Calibri" w:hAnsi="Calibri" w:cs="Calibri"/>
        </w:rPr>
      </w:pPr>
      <w:r>
        <w:rPr>
          <w:rFonts w:cs="Calibri" w:ascii="Calibri" w:hAnsi="Calibri"/>
        </w:rPr>
        <w:t>W 2025 roku wydano 28 decyzji kierujących do DDP III.</w:t>
      </w:r>
    </w:p>
    <w:p>
      <w:pPr>
        <w:pStyle w:val="Normalny"/>
        <w:spacing w:lineRule="auto" w:line="360"/>
        <w:jc w:val="both"/>
        <w:rPr>
          <w:rFonts w:ascii="Calibri" w:hAnsi="Calibri" w:cs="Calibri"/>
          <w:b/>
          <w:bCs/>
        </w:rPr>
      </w:pPr>
      <w:r>
        <w:rPr>
          <w:rFonts w:cs="Calibri" w:ascii="Calibri" w:hAnsi="Calibri"/>
          <w:b/>
          <w:bCs/>
        </w:rPr>
        <w:t>Na dzień 31 grudnia 2025 roku w Domu przebywały 23 osoby: 18 kobiet i 5 mężczyzn.</w:t>
      </w:r>
    </w:p>
    <w:p>
      <w:pPr>
        <w:pStyle w:val="Normalny"/>
        <w:spacing w:lineRule="auto" w:line="360"/>
        <w:jc w:val="both"/>
        <w:rPr>
          <w:rFonts w:ascii="Calibri" w:hAnsi="Calibri" w:cs="Calibri"/>
          <w:b/>
          <w:bCs/>
        </w:rPr>
      </w:pPr>
      <w:r>
        <w:rPr>
          <w:rFonts w:cs="Calibri" w:ascii="Calibri" w:hAnsi="Calibri"/>
          <w:b/>
          <w:bCs/>
        </w:rPr>
      </w:r>
    </w:p>
    <w:p>
      <w:pPr>
        <w:pStyle w:val="Normal"/>
        <w:spacing w:lineRule="auto" w:line="360"/>
        <w:jc w:val="both"/>
        <w:rPr>
          <w:rFonts w:ascii="Calibri" w:hAnsi="Calibri"/>
        </w:rPr>
      </w:pPr>
      <w:r>
        <w:rPr>
          <w:rFonts w:ascii="Calibri" w:hAnsi="Calibri"/>
        </w:rPr>
        <w:t>Na terenie naszego miasta istnieje możliwość uczestnictwa w zajęciach organizowanych przez placówkę wsparcia dziennego.</w:t>
      </w:r>
    </w:p>
    <w:p>
      <w:pPr>
        <w:pStyle w:val="Normal"/>
        <w:spacing w:lineRule="auto" w:line="360"/>
        <w:jc w:val="both"/>
        <w:rPr>
          <w:rFonts w:ascii="Calibri" w:hAnsi="Calibri"/>
          <w:b/>
          <w:bCs/>
        </w:rPr>
      </w:pPr>
      <w:r>
        <w:rPr>
          <w:rFonts w:ascii="Calibri" w:hAnsi="Calibri"/>
          <w:b/>
          <w:bCs/>
        </w:rPr>
      </w:r>
    </w:p>
    <w:p>
      <w:pPr>
        <w:pStyle w:val="Normal"/>
        <w:spacing w:lineRule="auto" w:line="360"/>
        <w:jc w:val="both"/>
        <w:rPr/>
      </w:pPr>
      <w:r>
        <w:rPr>
          <w:rStyle w:val="Domylnaczcionkaakapitu"/>
          <w:rFonts w:ascii="Calibri" w:hAnsi="Calibri"/>
          <w:b/>
          <w:bCs/>
        </w:rPr>
        <w:t>Placówka wsparcia dziennego</w:t>
      </w:r>
    </w:p>
    <w:p>
      <w:pPr>
        <w:pStyle w:val="Normal"/>
        <w:spacing w:lineRule="auto" w:line="360"/>
        <w:jc w:val="both"/>
        <w:rPr/>
      </w:pPr>
      <w:r>
        <w:rPr>
          <w:rStyle w:val="Domylnaczcionkaakapitu"/>
          <w:rFonts w:ascii="Calibri" w:hAnsi="Calibri"/>
        </w:rPr>
        <w:tab/>
        <w:t xml:space="preserve">Od listopada 2022 r. na terenie miasta funkcjonuje placówka wsparcia dziennego dla dzieci                i młodzieży przy Miejskim Ośrodku Pomocy Społecznej w Tomaszowie Maz pod nazwą </w:t>
      </w:r>
      <w:r>
        <w:rPr>
          <w:rStyle w:val="Domylnaczcionkaakapitu"/>
          <w:rFonts w:ascii="Calibri" w:hAnsi="Calibri"/>
          <w:b/>
          <w:bCs/>
        </w:rPr>
        <w:t>„Miasto Dzieci i Młodzieży”</w:t>
      </w:r>
      <w:r>
        <w:rPr>
          <w:rStyle w:val="Domylnaczcionkaakapitu"/>
          <w:rFonts w:ascii="Calibri" w:hAnsi="Calibri"/>
        </w:rPr>
        <w:t>.  Jest to miejsce przeznaczone dla dzieci i młodzieży zapewniające im udział w zajęciach, dzięki którym mogą rozwijać swoje zainteresowania i uzdolnienia. Placówka zapewnia :</w:t>
      </w:r>
    </w:p>
    <w:p>
      <w:pPr>
        <w:pStyle w:val="Normal"/>
        <w:spacing w:lineRule="auto" w:line="360"/>
        <w:jc w:val="both"/>
        <w:rPr>
          <w:rFonts w:ascii="Calibri" w:hAnsi="Calibri"/>
        </w:rPr>
      </w:pPr>
      <w:r>
        <w:rPr>
          <w:rFonts w:ascii="Calibri" w:hAnsi="Calibri"/>
        </w:rPr>
        <w:t>- opiekę i wychowanie,</w:t>
      </w:r>
    </w:p>
    <w:p>
      <w:pPr>
        <w:pStyle w:val="Normal"/>
        <w:spacing w:lineRule="auto" w:line="360"/>
        <w:jc w:val="both"/>
        <w:rPr>
          <w:rFonts w:ascii="Calibri" w:hAnsi="Calibri"/>
        </w:rPr>
      </w:pPr>
      <w:r>
        <w:rPr>
          <w:rFonts w:ascii="Calibri" w:hAnsi="Calibri"/>
        </w:rPr>
        <w:t>- pomoc w nauce,</w:t>
      </w:r>
    </w:p>
    <w:p>
      <w:pPr>
        <w:pStyle w:val="Normal"/>
        <w:spacing w:lineRule="auto" w:line="360"/>
        <w:jc w:val="both"/>
        <w:rPr>
          <w:rFonts w:ascii="Calibri" w:hAnsi="Calibri"/>
        </w:rPr>
      </w:pPr>
      <w:r>
        <w:rPr>
          <w:rFonts w:ascii="Calibri" w:hAnsi="Calibri"/>
        </w:rPr>
        <w:t>- organizację czasu wolnego, zabawę i zajęcia sportowe oraz rozwój zainteresowania</w:t>
      </w:r>
    </w:p>
    <w:p>
      <w:pPr>
        <w:pStyle w:val="Normal"/>
        <w:spacing w:lineRule="auto" w:line="360"/>
        <w:jc w:val="both"/>
        <w:rPr>
          <w:rFonts w:ascii="Calibri" w:hAnsi="Calibri"/>
        </w:rPr>
      </w:pPr>
      <w:r>
        <w:rPr>
          <w:rFonts w:ascii="Calibri" w:hAnsi="Calibri"/>
        </w:rPr>
        <w:t>- wsparcie psychologiczne.</w:t>
      </w:r>
    </w:p>
    <w:p>
      <w:pPr>
        <w:pStyle w:val="Normal"/>
        <w:spacing w:lineRule="auto" w:line="360"/>
        <w:ind w:firstLine="709"/>
        <w:jc w:val="both"/>
        <w:rPr>
          <w:rFonts w:ascii="Calibri" w:hAnsi="Calibri"/>
        </w:rPr>
      </w:pPr>
      <w:r>
        <w:rPr>
          <w:rFonts w:ascii="Calibri" w:hAnsi="Calibri"/>
        </w:rPr>
        <w:t>Z udziału w placówce skorzystać mogą dzieci do lat 18 zagrożone ubóstwem i wykluczeniem społecznym zamieszkałe na terenie miasta Tomaszowa Mazowieckiego.</w:t>
      </w:r>
    </w:p>
    <w:p>
      <w:pPr>
        <w:pStyle w:val="Normal"/>
        <w:spacing w:lineRule="auto" w:line="360"/>
        <w:ind w:firstLine="709"/>
        <w:jc w:val="both"/>
        <w:rPr>
          <w:rFonts w:ascii="Calibri" w:hAnsi="Calibri" w:cs="Calibri"/>
        </w:rPr>
      </w:pPr>
      <w:r>
        <w:rPr>
          <w:rFonts w:cs="Calibri" w:ascii="Calibri" w:hAnsi="Calibri"/>
        </w:rPr>
        <w:t>Do dyspozycji uczestników są: sale informatyczno-językowe, duża sala zajęciowa, pomieszczenie do spędzania czasu, czytelnia, przestrzeń do nauki i zabawy, pokój psychologa, aneks kuchenny, zaplecze socjalne.</w:t>
      </w:r>
    </w:p>
    <w:p>
      <w:pPr>
        <w:pStyle w:val="Normal"/>
        <w:spacing w:lineRule="auto" w:line="360"/>
        <w:ind w:firstLine="709"/>
        <w:jc w:val="both"/>
        <w:rPr>
          <w:rFonts w:ascii="Calibri" w:hAnsi="Calibri" w:cs="Calibri"/>
        </w:rPr>
      </w:pPr>
      <w:r>
        <w:rPr>
          <w:rFonts w:cs="Calibri" w:ascii="Calibri" w:hAnsi="Calibri"/>
        </w:rPr>
        <w:t>W placówce dziennie może przebywać jednocześnie do 30 dzieci. W roku 2025 czynny udział w zajęciach prowadzonych przez placówkę brało ponad 50 dzieci z terenu miasta.</w:t>
      </w:r>
    </w:p>
    <w:p>
      <w:pPr>
        <w:pStyle w:val="Normal"/>
        <w:spacing w:lineRule="auto" w:line="360"/>
        <w:jc w:val="both"/>
        <w:rPr>
          <w:rFonts w:ascii="Calibri" w:hAnsi="Calibri"/>
        </w:rPr>
      </w:pPr>
      <w:r>
        <w:rPr>
          <w:rFonts w:ascii="Calibri" w:hAnsi="Calibri"/>
        </w:rPr>
      </w:r>
    </w:p>
    <w:p>
      <w:pPr>
        <w:pStyle w:val="Nagwek2user"/>
        <w:tabs>
          <w:tab w:val="clear" w:pos="709"/>
          <w:tab w:val="left" w:pos="0" w:leader="none"/>
        </w:tabs>
        <w:spacing w:lineRule="auto" w:line="360"/>
        <w:ind w:hanging="0" w:start="0"/>
        <w:jc w:val="both"/>
        <w:rPr/>
      </w:pPr>
      <w:r>
        <w:rPr>
          <w:rStyle w:val="Domylnaczcionkaakapitu"/>
          <w:rFonts w:eastAsia="Liberation Serif" w:cs="Liberation Serif" w:ascii="Calibri" w:hAnsi="Calibri"/>
          <w:color w:val="000000"/>
          <w:sz w:val="24"/>
          <w:szCs w:val="24"/>
        </w:rPr>
        <w:t>Klub Integracji Spo</w:t>
      </w:r>
      <w:r>
        <w:rPr>
          <w:rStyle w:val="Domylnaczcionkaakapitu"/>
          <w:rFonts w:ascii="Calibri" w:hAnsi="Calibri"/>
          <w:color w:val="000000"/>
          <w:sz w:val="24"/>
          <w:szCs w:val="24"/>
        </w:rPr>
        <w:t>ł</w:t>
      </w:r>
      <w:r>
        <w:rPr>
          <w:rStyle w:val="Domylnaczcionkaakapitu"/>
          <w:rFonts w:eastAsia="Liberation Serif" w:cs="Liberation Serif" w:ascii="Calibri" w:hAnsi="Calibri"/>
          <w:color w:val="000000"/>
          <w:sz w:val="24"/>
          <w:szCs w:val="24"/>
        </w:rPr>
        <w:t>ecznej</w:t>
      </w:r>
    </w:p>
    <w:p>
      <w:pPr>
        <w:pStyle w:val="Normal"/>
        <w:spacing w:lineRule="auto" w:line="360"/>
        <w:jc w:val="both"/>
        <w:rPr/>
      </w:pPr>
      <w:r>
        <w:rPr>
          <w:rStyle w:val="Domylnaczcionkaakapitu"/>
          <w:rFonts w:eastAsia="Calibri" w:cs="Calibri" w:ascii="Calibri" w:hAnsi="Calibri"/>
          <w:color w:val="000000"/>
        </w:rPr>
        <w:t xml:space="preserve">           </w:t>
      </w:r>
      <w:r>
        <w:rPr>
          <w:rStyle w:val="Domylnaczcionkaakapitu"/>
          <w:rFonts w:eastAsia="Calibri" w:cs="Calibri" w:ascii="Calibri" w:hAnsi="Calibri"/>
          <w:color w:val="000000"/>
        </w:rPr>
        <w:t>Klub Integracji Społecznej funkcjonujący w ramach wewnętrznej struktury Miejskiego Ośrodka Pomocy Społecznej. W 2025 roku kolejny już rok kontynuował organizację prac społecznie – użytecznych dla klientów korzystających ze świadczeń pomocy społecznej, które są zarejestrowane w Powiatowym Urzędzie Pracy jako osoby bezrobotne bez prawa do zasiłku.</w:t>
      </w:r>
    </w:p>
    <w:p>
      <w:pPr>
        <w:pStyle w:val="BodyText"/>
        <w:spacing w:lineRule="auto" w:line="360"/>
        <w:jc w:val="both"/>
        <w:rPr/>
      </w:pPr>
      <w:r>
        <w:rPr>
          <w:rStyle w:val="Domylnaczcionkaakapitu"/>
          <w:rFonts w:eastAsia="Calibri" w:cs="Calibri" w:ascii="Calibri" w:hAnsi="Calibri"/>
          <w:color w:val="000000"/>
        </w:rPr>
        <w:tab/>
        <w:t>W  dniu 04.02.2025 roku zostało zawarte porozumienie pomiędzy: Powiatem Tomaszowskim - Powiatowym Urzędem Pracy, a Gminą Miasto Tomaszów Mazowiecki, w ramach którego uwzględniono gminny plan potrzeb w zakresie wykonywania prac społecznie użytecznych na okres 11 miesięcy.</w:t>
      </w:r>
    </w:p>
    <w:p>
      <w:pPr>
        <w:pStyle w:val="BodyText"/>
        <w:spacing w:lineRule="auto" w:line="360" w:before="0" w:after="0"/>
        <w:jc w:val="both"/>
        <w:rPr/>
      </w:pPr>
      <w:r>
        <w:rPr>
          <w:rStyle w:val="Domylnaczcionkaakapitu"/>
          <w:rFonts w:eastAsia="Calibri" w:cs="Calibri" w:ascii="Calibri" w:hAnsi="Calibri"/>
          <w:color w:val="000000"/>
        </w:rPr>
        <w:tab/>
        <w:t>Podmiotami organizującymi prace społecznie – użyteczne były: Gmina Miasto Tomaszów Mazowiecki,  Zarząd Dróg i Utrzymania Miasta,  Miejski Ośrodek Pomocy Społecznej.</w:t>
      </w:r>
    </w:p>
    <w:p>
      <w:pPr>
        <w:pStyle w:val="BodyText"/>
        <w:spacing w:lineRule="auto" w:line="360" w:before="0" w:after="0"/>
        <w:jc w:val="both"/>
        <w:rPr/>
      </w:pPr>
      <w:r>
        <w:rPr>
          <w:rStyle w:val="Domylnaczcionkaakapitu"/>
          <w:rFonts w:eastAsia="Calibri" w:cs="Calibri" w:ascii="Calibri" w:hAnsi="Calibri"/>
          <w:color w:val="000000"/>
        </w:rPr>
        <w:t>- Gmina Miasto Tomaszów Mazowiecki organizowała prace społecznie – użyteczne dla osób bezrobotnych bez prawa do zasiłku,  korzystających ze świadczeń pomocy społecznej.</w:t>
      </w:r>
    </w:p>
    <w:p>
      <w:pPr>
        <w:pStyle w:val="BodyText"/>
        <w:spacing w:lineRule="auto" w:line="360" w:before="0" w:after="0"/>
        <w:jc w:val="both"/>
        <w:rPr/>
      </w:pPr>
      <w:r>
        <w:rPr>
          <w:rStyle w:val="Domylnaczcionkaakapitu"/>
          <w:rFonts w:eastAsia="Calibri" w:cs="Calibri" w:ascii="Calibri" w:hAnsi="Calibri"/>
          <w:color w:val="000000"/>
        </w:rPr>
        <w:t>- Pracownicy socjalni Miejskiego Ośrodka Pomocy Społecznej typowali osoby bezrobotne bez prawa do zasiłku, korzystające ze świadczeń pomocy społecznej oraz podpisywali kontrakty socjalne na wykonywanie prac społecznie użytecznych w okresie marzec – grudzień  2025 roku.</w:t>
      </w:r>
    </w:p>
    <w:p>
      <w:pPr>
        <w:pStyle w:val="Normal"/>
        <w:numPr>
          <w:ilvl w:val="0"/>
          <w:numId w:val="20"/>
        </w:numPr>
        <w:spacing w:lineRule="auto" w:line="360"/>
        <w:rPr>
          <w:rFonts w:ascii="Calibri" w:hAnsi="Calibri" w:eastAsia="Calibri" w:cs="Calibri"/>
          <w:color w:val="000000"/>
        </w:rPr>
      </w:pPr>
      <w:r>
        <w:rPr>
          <w:rFonts w:eastAsia="Calibri" w:cs="Calibri" w:ascii="Calibri" w:hAnsi="Calibri"/>
          <w:color w:val="000000"/>
        </w:rPr>
        <w:t>Marzec</w:t>
        <w:tab/>
        <w:t>27 osób,</w:t>
      </w:r>
    </w:p>
    <w:p>
      <w:pPr>
        <w:pStyle w:val="Normal"/>
        <w:numPr>
          <w:ilvl w:val="0"/>
          <w:numId w:val="5"/>
        </w:numPr>
        <w:spacing w:lineRule="auto" w:line="360"/>
        <w:rPr>
          <w:rFonts w:ascii="Calibri" w:hAnsi="Calibri" w:eastAsia="Calibri" w:cs="Calibri"/>
          <w:color w:val="000000"/>
        </w:rPr>
      </w:pPr>
      <w:r>
        <w:rPr>
          <w:rFonts w:eastAsia="Calibri" w:cs="Calibri" w:ascii="Calibri" w:hAnsi="Calibri"/>
          <w:color w:val="000000"/>
        </w:rPr>
        <w:t>kwiecień</w:t>
        <w:tab/>
        <w:t>42 osoby,</w:t>
      </w:r>
    </w:p>
    <w:p>
      <w:pPr>
        <w:pStyle w:val="Normal"/>
        <w:numPr>
          <w:ilvl w:val="0"/>
          <w:numId w:val="5"/>
        </w:numPr>
        <w:spacing w:lineRule="auto" w:line="360"/>
        <w:rPr>
          <w:rFonts w:ascii="Calibri" w:hAnsi="Calibri" w:eastAsia="Calibri" w:cs="Calibri"/>
          <w:color w:val="000000"/>
        </w:rPr>
      </w:pPr>
      <w:r>
        <w:rPr>
          <w:rFonts w:eastAsia="Calibri" w:cs="Calibri" w:ascii="Calibri" w:hAnsi="Calibri"/>
          <w:color w:val="000000"/>
        </w:rPr>
        <w:t>maj</w:t>
        <w:tab/>
        <w:tab/>
        <w:t>43 osoby,</w:t>
      </w:r>
    </w:p>
    <w:p>
      <w:pPr>
        <w:pStyle w:val="Normal"/>
        <w:numPr>
          <w:ilvl w:val="0"/>
          <w:numId w:val="5"/>
        </w:numPr>
        <w:spacing w:lineRule="auto" w:line="360"/>
        <w:rPr>
          <w:rFonts w:ascii="Calibri" w:hAnsi="Calibri" w:eastAsia="Calibri" w:cs="Calibri"/>
          <w:color w:val="000000"/>
        </w:rPr>
      </w:pPr>
      <w:r>
        <w:rPr>
          <w:rFonts w:eastAsia="Calibri" w:cs="Calibri" w:ascii="Calibri" w:hAnsi="Calibri"/>
          <w:color w:val="000000"/>
        </w:rPr>
        <w:t>czerwiec</w:t>
        <w:tab/>
        <w:t>41 osób,</w:t>
      </w:r>
    </w:p>
    <w:p>
      <w:pPr>
        <w:pStyle w:val="Normal"/>
        <w:numPr>
          <w:ilvl w:val="0"/>
          <w:numId w:val="5"/>
        </w:numPr>
        <w:spacing w:lineRule="auto" w:line="360"/>
        <w:rPr>
          <w:rFonts w:ascii="Calibri" w:hAnsi="Calibri" w:eastAsia="Calibri" w:cs="Calibri"/>
          <w:color w:val="000000"/>
        </w:rPr>
      </w:pPr>
      <w:r>
        <w:rPr>
          <w:rFonts w:eastAsia="Calibri" w:cs="Calibri" w:ascii="Calibri" w:hAnsi="Calibri"/>
          <w:color w:val="000000"/>
        </w:rPr>
        <w:t>lipiec</w:t>
        <w:tab/>
        <w:tab/>
        <w:t>40 osób,</w:t>
      </w:r>
    </w:p>
    <w:p>
      <w:pPr>
        <w:pStyle w:val="Normal"/>
        <w:numPr>
          <w:ilvl w:val="0"/>
          <w:numId w:val="5"/>
        </w:numPr>
        <w:spacing w:lineRule="auto" w:line="360"/>
        <w:rPr>
          <w:rFonts w:ascii="Calibri" w:hAnsi="Calibri" w:eastAsia="Calibri" w:cs="Calibri"/>
          <w:color w:val="000000"/>
        </w:rPr>
      </w:pPr>
      <w:r>
        <w:rPr>
          <w:rFonts w:eastAsia="Calibri" w:cs="Calibri" w:ascii="Calibri" w:hAnsi="Calibri"/>
          <w:color w:val="000000"/>
        </w:rPr>
        <w:t>sierpień</w:t>
        <w:tab/>
        <w:t>39 osób,</w:t>
      </w:r>
    </w:p>
    <w:p>
      <w:pPr>
        <w:pStyle w:val="Normal"/>
        <w:numPr>
          <w:ilvl w:val="0"/>
          <w:numId w:val="5"/>
        </w:numPr>
        <w:spacing w:lineRule="auto" w:line="360"/>
        <w:rPr>
          <w:rFonts w:ascii="Calibri" w:hAnsi="Calibri" w:eastAsia="Calibri" w:cs="Calibri"/>
          <w:color w:val="000000"/>
        </w:rPr>
      </w:pPr>
      <w:r>
        <w:rPr>
          <w:rFonts w:eastAsia="Calibri" w:cs="Calibri" w:ascii="Calibri" w:hAnsi="Calibri"/>
          <w:color w:val="000000"/>
        </w:rPr>
        <w:t>wrzesień</w:t>
        <w:tab/>
        <w:t>37 osób,</w:t>
      </w:r>
    </w:p>
    <w:p>
      <w:pPr>
        <w:pStyle w:val="Normal"/>
        <w:numPr>
          <w:ilvl w:val="0"/>
          <w:numId w:val="5"/>
        </w:numPr>
        <w:spacing w:lineRule="auto" w:line="360"/>
        <w:rPr>
          <w:rFonts w:ascii="Calibri" w:hAnsi="Calibri" w:eastAsia="Calibri" w:cs="Calibri"/>
          <w:color w:val="000000"/>
        </w:rPr>
      </w:pPr>
      <w:r>
        <w:rPr>
          <w:rFonts w:eastAsia="Calibri" w:cs="Calibri" w:ascii="Calibri" w:hAnsi="Calibri"/>
          <w:color w:val="000000"/>
        </w:rPr>
        <w:t>październik</w:t>
        <w:tab/>
        <w:t>33 osoby,</w:t>
      </w:r>
    </w:p>
    <w:p>
      <w:pPr>
        <w:pStyle w:val="Normal"/>
        <w:numPr>
          <w:ilvl w:val="0"/>
          <w:numId w:val="5"/>
        </w:numPr>
        <w:spacing w:lineRule="auto" w:line="360"/>
        <w:rPr>
          <w:rFonts w:ascii="Calibri" w:hAnsi="Calibri" w:eastAsia="Calibri" w:cs="Calibri"/>
          <w:color w:val="000000"/>
        </w:rPr>
      </w:pPr>
      <w:r>
        <w:rPr>
          <w:rFonts w:eastAsia="Calibri" w:cs="Calibri" w:ascii="Calibri" w:hAnsi="Calibri"/>
          <w:color w:val="000000"/>
        </w:rPr>
        <w:t>listopad</w:t>
        <w:tab/>
        <w:t>30 osób,</w:t>
      </w:r>
    </w:p>
    <w:p>
      <w:pPr>
        <w:pStyle w:val="Normal"/>
        <w:numPr>
          <w:ilvl w:val="0"/>
          <w:numId w:val="5"/>
        </w:numPr>
        <w:spacing w:lineRule="auto" w:line="360"/>
        <w:rPr>
          <w:rFonts w:ascii="Calibri" w:hAnsi="Calibri" w:eastAsia="Calibri" w:cs="Calibri"/>
          <w:color w:val="000000"/>
        </w:rPr>
      </w:pPr>
      <w:r>
        <w:rPr>
          <w:rFonts w:eastAsia="Calibri" w:cs="Calibri" w:ascii="Calibri" w:hAnsi="Calibri"/>
          <w:color w:val="000000"/>
        </w:rPr>
        <w:t>grudzień</w:t>
        <w:tab/>
        <w:t>28 osób.</w:t>
      </w:r>
    </w:p>
    <w:p>
      <w:pPr>
        <w:pStyle w:val="Normal"/>
        <w:spacing w:lineRule="auto" w:line="360"/>
        <w:jc w:val="both"/>
        <w:rPr>
          <w:rFonts w:ascii="Calibri" w:hAnsi="Calibri" w:eastAsia="Calibri" w:cs="Calibri"/>
          <w:color w:val="000000"/>
        </w:rPr>
      </w:pPr>
      <w:r>
        <w:rPr>
          <w:rFonts w:eastAsia="Calibri" w:cs="Calibri" w:ascii="Calibri" w:hAnsi="Calibri"/>
          <w:color w:val="000000"/>
        </w:rPr>
      </w:r>
    </w:p>
    <w:p>
      <w:pPr>
        <w:pStyle w:val="Normal"/>
        <w:spacing w:lineRule="auto" w:line="360"/>
        <w:jc w:val="both"/>
        <w:rPr/>
      </w:pPr>
      <w:r>
        <w:rPr>
          <w:rStyle w:val="Domylnaczcionkaakapitu"/>
          <w:rFonts w:eastAsia="Calibri" w:cs="Calibri" w:ascii="Calibri" w:hAnsi="Calibri"/>
          <w:color w:val="000000"/>
        </w:rPr>
        <w:tab/>
        <w:t>Na realizację prac społecznie użytecznych łącznie było zaplanowanych wykonanie 13 200 godz. dla 60 osób, z czego zostało wykorzystanych 10 753 godziny przez 57 osób.</w:t>
      </w:r>
    </w:p>
    <w:p>
      <w:pPr>
        <w:pStyle w:val="Normal"/>
        <w:spacing w:lineRule="auto" w:line="360"/>
        <w:jc w:val="both"/>
        <w:rPr/>
      </w:pPr>
      <w:r>
        <w:rPr>
          <w:rStyle w:val="Domylnaczcionkaakapitu"/>
          <w:rFonts w:eastAsia="Calibri" w:cs="Calibri" w:ascii="Calibri" w:hAnsi="Calibri"/>
          <w:color w:val="000000"/>
        </w:rPr>
        <w:tab/>
        <w:t>Prace obejmowały 40 godzin miesięcznie, nie więcej niż 10 godzin tygodniowo na osobę.  Osoby wykonujące prace społecznie – użyteczne otrzymywały świadczenie w wysokości 12,20 złotych za jedną roboczogodzinę.</w:t>
      </w:r>
    </w:p>
    <w:p>
      <w:pPr>
        <w:pStyle w:val="Normal"/>
        <w:spacing w:lineRule="auto" w:line="360"/>
        <w:jc w:val="both"/>
        <w:rPr/>
      </w:pPr>
      <w:r>
        <w:rPr>
          <w:rStyle w:val="Domylnaczcionkaakapitu"/>
          <w:rFonts w:eastAsia="Calibri" w:cs="Calibri" w:ascii="Calibri" w:hAnsi="Calibri"/>
        </w:rPr>
        <w:tab/>
        <w:t>W ramach prac społecznie użytecznych podejmowano następujące rodzaje działań na terenie miasta Tomaszowa Mazowieckiego:</w:t>
      </w:r>
    </w:p>
    <w:p>
      <w:pPr>
        <w:pStyle w:val="Normal"/>
        <w:numPr>
          <w:ilvl w:val="0"/>
          <w:numId w:val="21"/>
        </w:numPr>
        <w:autoSpaceDE w:val="false"/>
        <w:spacing w:lineRule="auto" w:line="360"/>
        <w:rPr>
          <w:rFonts w:ascii="Calibri" w:hAnsi="Calibri" w:eastAsia="Calibri" w:cs="Calibri"/>
        </w:rPr>
      </w:pPr>
      <w:r>
        <w:rPr>
          <w:rFonts w:eastAsia="Calibri" w:cs="Calibri" w:ascii="Calibri" w:hAnsi="Calibri"/>
        </w:rPr>
        <w:t>porządkowanie terenów zieleni,</w:t>
      </w:r>
    </w:p>
    <w:p>
      <w:pPr>
        <w:pStyle w:val="Normal"/>
        <w:numPr>
          <w:ilvl w:val="0"/>
          <w:numId w:val="6"/>
        </w:numPr>
        <w:autoSpaceDE w:val="false"/>
        <w:spacing w:lineRule="auto" w:line="360"/>
        <w:rPr>
          <w:rFonts w:ascii="Calibri" w:hAnsi="Calibri" w:eastAsia="Calibri" w:cs="Calibri"/>
        </w:rPr>
      </w:pPr>
      <w:r>
        <w:rPr>
          <w:rFonts w:eastAsia="Calibri" w:cs="Calibri" w:ascii="Calibri" w:hAnsi="Calibri"/>
        </w:rPr>
        <w:t>pielęgnacja trawników,</w:t>
      </w:r>
    </w:p>
    <w:p>
      <w:pPr>
        <w:pStyle w:val="Normal"/>
        <w:numPr>
          <w:ilvl w:val="0"/>
          <w:numId w:val="6"/>
        </w:numPr>
        <w:spacing w:lineRule="auto" w:line="360"/>
        <w:rPr>
          <w:rFonts w:ascii="Calibri" w:hAnsi="Calibri" w:eastAsia="Calibri" w:cs="Calibri"/>
          <w:color w:val="000000"/>
        </w:rPr>
      </w:pPr>
      <w:r>
        <w:rPr>
          <w:rFonts w:eastAsia="Calibri" w:cs="Calibri" w:ascii="Calibri" w:hAnsi="Calibri"/>
          <w:color w:val="000000"/>
        </w:rPr>
        <w:t>prace porządkowe i gospodarskie wskazane przez organizatora.</w:t>
      </w:r>
    </w:p>
    <w:p>
      <w:pPr>
        <w:pStyle w:val="Normal"/>
        <w:autoSpaceDE w:val="false"/>
        <w:spacing w:lineRule="auto" w:line="360"/>
        <w:rPr>
          <w:rFonts w:ascii="Calibri" w:hAnsi="Calibri"/>
        </w:rPr>
      </w:pPr>
      <w:r>
        <w:rPr>
          <w:rFonts w:ascii="Calibri" w:hAnsi="Calibri"/>
        </w:rPr>
      </w:r>
    </w:p>
    <w:p>
      <w:pPr>
        <w:pStyle w:val="Normal"/>
        <w:autoSpaceDE w:val="false"/>
        <w:spacing w:lineRule="auto" w:line="480"/>
        <w:rPr/>
      </w:pPr>
      <w:r>
        <w:rPr>
          <w:rStyle w:val="Domylnaczcionkaakapitu"/>
          <w:rFonts w:ascii="Calibri" w:hAnsi="Calibri"/>
          <w:b/>
          <w:bCs/>
        </w:rPr>
        <w:t>2.  Sekcja Świadczeń Pomocy Społecznej</w:t>
      </w:r>
    </w:p>
    <w:p>
      <w:pPr>
        <w:pStyle w:val="Normal"/>
        <w:autoSpaceDE w:val="false"/>
        <w:spacing w:lineRule="auto" w:line="360"/>
        <w:jc w:val="both"/>
        <w:rPr>
          <w:rFonts w:ascii="Calibri" w:hAnsi="Calibri" w:eastAsia="TimesNewRomanPS-BoldMT" w:cs="TimesNewRomanPS-BoldMT"/>
          <w:b/>
          <w:bCs/>
        </w:rPr>
      </w:pPr>
      <w:r>
        <w:rPr>
          <w:rFonts w:eastAsia="TimesNewRomanPS-BoldMT" w:cs="TimesNewRomanPS-BoldMT" w:ascii="Calibri" w:hAnsi="Calibri"/>
          <w:b/>
          <w:bCs/>
        </w:rPr>
        <w:t>Świadczenia z pomocy społecznej pieniężne i niepieniężne</w:t>
      </w:r>
    </w:p>
    <w:p>
      <w:pPr>
        <w:pStyle w:val="Normal"/>
        <w:spacing w:lineRule="auto" w:line="360"/>
        <w:jc w:val="both"/>
        <w:rPr/>
      </w:pPr>
      <w:r>
        <w:rPr>
          <w:rStyle w:val="Domylnaczcionkaakapitu"/>
          <w:rFonts w:eastAsia="Times New Roman" w:cs="Times New Roman" w:ascii="Calibri" w:hAnsi="Calibri"/>
          <w:color w:val="000000"/>
        </w:rPr>
        <w:t>Sekcja Świadczeń Pomocy Społecznej realizuje zadania w zakresie przyznawania ś</w:t>
      </w:r>
      <w:r>
        <w:rPr>
          <w:rStyle w:val="Domylnaczcionkaakapitu"/>
          <w:rFonts w:eastAsia="TimesNewRomanPS-BoldMT" w:cs="TimesNewRomanPS-BoldMT" w:ascii="Calibri" w:hAnsi="Calibri"/>
          <w:color w:val="000000"/>
        </w:rPr>
        <w:t>wiadczeń</w:t>
        <w:br/>
        <w:t xml:space="preserve">z pomocy społecznej w formie pieniężnej i niepieniężnej na podstawie ustawy z dnia 12 marca 2004 roku o pomocy społecznej (Dz.U. z 2025r. poz. 1214 z późn.zm.), Rozporządzenia Rady Ministrów </w:t>
        <w:br/>
        <w:t>z dnia 14 lipca 2021 r. w sprawie zweryfikowanych kryteriów dochodowych oraz kwot świadczeń pieniężnych z pomocy społecznej (Dz.U. 2024, poz. 1044)</w:t>
      </w:r>
      <w:r>
        <w:rPr>
          <w:rStyle w:val="Domylnaczcionkaakapitu"/>
          <w:rFonts w:eastAsia="Times New Roman" w:cs="TimesNewRomanPS-BoldMT" w:ascii="Calibri" w:hAnsi="Calibri"/>
          <w:color w:val="000000"/>
        </w:rPr>
        <w:t xml:space="preserve">, Uchwały nr 149 Rady Ministrów z dnia 23 sierpnia 2023 r. w sprawie ustanowienia wieloletniego rządowego programu "Posiłek w szkole </w:t>
        <w:br/>
        <w:t xml:space="preserve">i w domu" na lata 2024-2028 (M. P. z 2023r. poz. 881) w związku z Uchwałą nr LXXXII/650/2023 Rady Miejskiej Tomaszowa Mazowieckiego z dnia 26 października 2023 r. w sprawie ustanowienia wieloletniego programu osłonowego w zakresie dożywiania "Posiłek w szkole i w domu" na lata 2024-2028, </w:t>
      </w:r>
      <w:r>
        <w:rPr>
          <w:rStyle w:val="Domylnaczcionkaakapitu"/>
          <w:rFonts w:ascii="Calibri" w:hAnsi="Calibri"/>
        </w:rPr>
        <w:t>Uchwały nr XVII/121/2025 Rady Miejskiej Tomaszowa Mazowieckiego z dnia 25 marca 2025 r. w sprawie podwyższenia kryteriów dochodowych oraz odstąpienia od żądania zwrotu wydatków za świadczenia z pomocy społecznej.</w:t>
      </w:r>
    </w:p>
    <w:p>
      <w:pPr>
        <w:pStyle w:val="Normal"/>
        <w:spacing w:lineRule="auto" w:line="360"/>
        <w:jc w:val="both"/>
        <w:rPr>
          <w:rFonts w:ascii="Calibri" w:hAnsi="Calibri"/>
        </w:rPr>
      </w:pPr>
      <w:r>
        <w:rPr>
          <w:rFonts w:ascii="Calibri" w:hAnsi="Calibri"/>
        </w:rPr>
      </w:r>
    </w:p>
    <w:p>
      <w:pPr>
        <w:pStyle w:val="Normal"/>
        <w:spacing w:lineRule="auto" w:line="360"/>
        <w:jc w:val="both"/>
        <w:rPr>
          <w:rFonts w:ascii="Calibri" w:hAnsi="Calibri" w:eastAsia="TimesNewRomanPSMT;'Times New R" w:cs="TimesNewRomanPSMT;'Times New R"/>
          <w:b/>
          <w:bCs/>
        </w:rPr>
      </w:pPr>
      <w:r>
        <w:rPr>
          <w:rFonts w:eastAsia="TimesNewRomanPSMT;'Times New R" w:cs="TimesNewRomanPSMT;'Times New R" w:ascii="Calibri" w:hAnsi="Calibri"/>
          <w:b/>
          <w:bCs/>
        </w:rPr>
        <w:t>Wśród form pomocy udzielanej przez tutejszy Ośrodek można wyróżnić:</w:t>
      </w:r>
    </w:p>
    <w:p>
      <w:pPr>
        <w:pStyle w:val="Normal"/>
        <w:autoSpaceDE w:val="false"/>
        <w:spacing w:lineRule="auto" w:line="360"/>
        <w:jc w:val="both"/>
        <w:rPr/>
      </w:pPr>
      <w:r>
        <w:rPr>
          <w:rStyle w:val="Domylnaczcionkaakapitu"/>
          <w:rFonts w:eastAsia="TimesNewRomanPSMT;'Times New R" w:cs="TimesNewRomanPSMT;'Times New R" w:ascii="Calibri" w:hAnsi="Calibri"/>
        </w:rPr>
        <w:t xml:space="preserve">-  </w:t>
      </w:r>
      <w:r>
        <w:rPr>
          <w:rStyle w:val="Domylnaczcionkaakapitu"/>
          <w:rFonts w:eastAsia="TimesNewRomanPSMT;'Times New R" w:cs="TimesNewRomanPSMT;'Times New R" w:ascii="Calibri" w:hAnsi="Calibri"/>
          <w:u w:val="single"/>
        </w:rPr>
        <w:t>świadczenia pieniężne</w:t>
      </w:r>
      <w:r>
        <w:rPr>
          <w:rStyle w:val="Domylnaczcionkaakapitu"/>
          <w:rFonts w:eastAsia="TimesNewRomanPSMT;'Times New R" w:cs="TimesNewRomanPSMT;'Times New R" w:ascii="Calibri" w:hAnsi="Calibri"/>
        </w:rPr>
        <w:t>: zasiłek stały, zasiłek okresowy, zasiłek celowy (w szczególności na: koszty leków i leczenia, zakup żywności, zakupu opału i odzieży, niezbędnych przedmiotów użytku domowego, drobnych remontów i napraw w mieszkaniu), specjalny zasiłek celowy, wynagrodzenie należne opiekunowi z tytułu sprawowania opieki przyznane przez sąd;</w:t>
      </w:r>
    </w:p>
    <w:p>
      <w:pPr>
        <w:pStyle w:val="Normal"/>
        <w:tabs>
          <w:tab w:val="clear" w:pos="709"/>
          <w:tab w:val="left" w:pos="236" w:leader="none"/>
        </w:tabs>
        <w:autoSpaceDE w:val="false"/>
        <w:spacing w:lineRule="auto" w:line="360"/>
        <w:jc w:val="both"/>
        <w:rPr/>
      </w:pPr>
      <w:r>
        <w:rPr>
          <w:rStyle w:val="Domylnaczcionkaakapitu"/>
          <w:rFonts w:eastAsia="TimesNewRomanPSMT;'Times New R" w:cs="TimesNewRomanPSMT;'Times New R" w:ascii="Calibri" w:hAnsi="Calibri"/>
        </w:rPr>
        <w:t xml:space="preserve">- </w:t>
      </w:r>
      <w:r>
        <w:rPr>
          <w:rStyle w:val="Domylnaczcionkaakapitu"/>
          <w:rFonts w:eastAsia="TimesNewRomanPSMT;'Times New R" w:cs="TimesNewRomanPSMT;'Times New R" w:ascii="Calibri" w:hAnsi="Calibri"/>
          <w:u w:val="single"/>
        </w:rPr>
        <w:t>świadczenia niepieniężne</w:t>
      </w:r>
      <w:r>
        <w:rPr>
          <w:rStyle w:val="Domylnaczcionkaakapitu"/>
          <w:rFonts w:eastAsia="TimesNewRomanPSMT;'Times New R" w:cs="TimesNewRomanPSMT;'Times New R" w:ascii="Calibri" w:hAnsi="Calibri"/>
        </w:rPr>
        <w:t xml:space="preserve">: praca socjalna, składki na ubezpieczenie zdrowotne, składki na </w:t>
        <w:br/>
        <w:t xml:space="preserve">ubezpieczenie społeczne, pomoc rzeczowa (w tym artykuły higieniczne i sanitarne), sprawienie </w:t>
        <w:br/>
        <w:t xml:space="preserve">pogrzebu, poradnictwo specjalistyczne, schronienie, mieszkanie chronione, posiłek, niezbędne </w:t>
        <w:br/>
        <w:t>ubranie, usługi opiekuńcze w miejscu zamieszkania, specjalistyczne usługi opiekuńcze dla osób                    z zaburzeniami psychicznymi w miejscu zamieszkania, pobyt i usługi w domu pomocy społecznej oraz domu dziennego pobytu.</w:t>
      </w:r>
    </w:p>
    <w:p>
      <w:pPr>
        <w:pStyle w:val="Normal"/>
        <w:tabs>
          <w:tab w:val="clear" w:pos="709"/>
          <w:tab w:val="left" w:pos="236" w:leader="none"/>
        </w:tabs>
        <w:autoSpaceDE w:val="false"/>
        <w:spacing w:lineRule="auto" w:line="360"/>
        <w:jc w:val="both"/>
        <w:rPr>
          <w:rFonts w:ascii="Calibri" w:hAnsi="Calibri"/>
          <w:color w:val="000000"/>
        </w:rPr>
      </w:pPr>
      <w:r>
        <w:rPr>
          <w:rFonts w:ascii="Calibri" w:hAnsi="Calibri"/>
          <w:color w:val="000000"/>
        </w:rPr>
        <w:t>Warunkiem  uprawniającym do pobierania świadczeń z pomocy społecznej przez osobę lub rodzinę jest próg dochodowy, który w roku 2025 obowiązywał w następującej wysokości:</w:t>
      </w:r>
    </w:p>
    <w:p>
      <w:pPr>
        <w:pStyle w:val="Normal"/>
        <w:tabs>
          <w:tab w:val="clear" w:pos="709"/>
          <w:tab w:val="left" w:pos="236" w:leader="none"/>
        </w:tabs>
        <w:autoSpaceDE w:val="false"/>
        <w:spacing w:lineRule="auto" w:line="360"/>
        <w:jc w:val="both"/>
        <w:rPr/>
      </w:pPr>
      <w:r>
        <w:rPr>
          <w:rStyle w:val="Domylnaczcionkaakapitu"/>
          <w:rFonts w:ascii="Calibri" w:hAnsi="Calibri"/>
          <w:color w:val="000000"/>
        </w:rPr>
        <w:tab/>
        <w:t xml:space="preserve">  -   dla osoby samotnie gospodarującej – </w:t>
      </w:r>
      <w:r>
        <w:rPr>
          <w:rStyle w:val="Domylnaczcionkaakapitu"/>
          <w:rFonts w:ascii="Calibri" w:hAnsi="Calibri"/>
          <w:b/>
          <w:bCs/>
          <w:color w:val="000000"/>
        </w:rPr>
        <w:t>1 010 zł,</w:t>
      </w:r>
    </w:p>
    <w:p>
      <w:pPr>
        <w:pStyle w:val="Normal"/>
        <w:autoSpaceDE w:val="false"/>
        <w:spacing w:lineRule="auto" w:line="360"/>
        <w:jc w:val="both"/>
        <w:rPr/>
      </w:pPr>
      <w:r>
        <w:rPr>
          <w:rStyle w:val="Domylnaczcionkaakapitu"/>
          <w:rFonts w:ascii="Calibri" w:hAnsi="Calibri"/>
          <w:color w:val="000000"/>
        </w:rPr>
        <w:t xml:space="preserve">      </w:t>
      </w:r>
      <w:r>
        <w:rPr>
          <w:rStyle w:val="Domylnaczcionkaakapitu"/>
          <w:rFonts w:ascii="Calibri" w:hAnsi="Calibri"/>
          <w:color w:val="000000"/>
        </w:rPr>
        <w:t xml:space="preserve">-   dla osoby w rodzinie – </w:t>
      </w:r>
      <w:r>
        <w:rPr>
          <w:rStyle w:val="Domylnaczcionkaakapitu"/>
          <w:rFonts w:ascii="Calibri" w:hAnsi="Calibri"/>
          <w:b/>
          <w:bCs/>
          <w:color w:val="000000"/>
        </w:rPr>
        <w:t>823 zł.</w:t>
      </w:r>
    </w:p>
    <w:p>
      <w:pPr>
        <w:pStyle w:val="Normal"/>
        <w:autoSpaceDE w:val="false"/>
        <w:spacing w:lineRule="auto" w:line="360"/>
        <w:jc w:val="both"/>
        <w:rPr/>
      </w:pPr>
      <w:r>
        <w:rPr>
          <w:rStyle w:val="Domylnaczcionkaakapitu"/>
          <w:rFonts w:ascii="Calibri" w:hAnsi="Calibri"/>
          <w:color w:val="000000"/>
        </w:rPr>
        <w:t xml:space="preserve">oraz jeden z następujących powodów: ubóstwo, sieroctwo, bezdomność, bezrobocie, niepełnosprawność, długotrwała lub ciężka choroba, przemoc w rodzinie, potrzeba ochrony ofiar handlu ludźmi, potrzeba ochrony macierzyństwa lub wielodzietności,  bezradność w sprawach opiekuńczo wychowawczych i prowadzenia gospodarstwa domowego, zwłaszcza w rodzinach niepełnych lub wielodzietnych, </w:t>
      </w:r>
      <w:r>
        <w:rPr>
          <w:rStyle w:val="Domylnaczcionkaakapitu"/>
          <w:rFonts w:ascii="Calibri" w:hAnsi="Calibri"/>
        </w:rPr>
        <w:t xml:space="preserve">trudności w integracji cudzoziemców, którzy uzyskali </w:t>
        <w:br/>
        <w:t xml:space="preserve">w Rzeczypospolitej Polskiej status uchodźcy, ochronę uzupełniającą lub zezwolenie na pobyt czasowy udzielone w związku z okolicznością (o której mowa w art.159 ust.1 pkt1 lit. c lub d ustawy z dnia 12 grudnia 2013r. o cudzoziemcach Dz. U. z 2025 r. poz. 1079), </w:t>
      </w:r>
      <w:r>
        <w:rPr>
          <w:rStyle w:val="Domylnaczcionkaakapitu"/>
          <w:rFonts w:ascii="Calibri" w:hAnsi="Calibri"/>
          <w:color w:val="000000"/>
        </w:rPr>
        <w:t>trudność w przystosowaniu do życia po zwolnieniu z zakładu karnego, alkoholizm lub narkomania, zdarzenie losowe i sytuacja kryzysowa, klęska żywiołowa lub ekologiczna.</w:t>
      </w:r>
    </w:p>
    <w:p>
      <w:pPr>
        <w:pStyle w:val="Normal"/>
        <w:autoSpaceDE w:val="false"/>
        <w:spacing w:lineRule="auto" w:line="360"/>
        <w:jc w:val="both"/>
        <w:rPr>
          <w:rFonts w:ascii="Calibri" w:hAnsi="Calibri"/>
          <w:color w:val="000000"/>
        </w:rPr>
      </w:pPr>
      <w:r>
        <w:rPr>
          <w:rFonts w:ascii="Calibri" w:hAnsi="Calibri"/>
          <w:color w:val="000000"/>
        </w:rPr>
      </w:r>
    </w:p>
    <w:p>
      <w:pPr>
        <w:pStyle w:val="Normal"/>
        <w:autoSpaceDE w:val="false"/>
        <w:spacing w:lineRule="auto" w:line="360"/>
        <w:jc w:val="both"/>
        <w:rPr/>
      </w:pPr>
      <w:r>
        <w:rPr>
          <w:rStyle w:val="Domylnaczcionkaakapitu"/>
          <w:rFonts w:eastAsia="TimesNewRomanPS-BoldMT" w:cs="TimesNewRomanPS-BoldMT" w:ascii="Calibri" w:hAnsi="Calibri"/>
          <w:b/>
          <w:bCs/>
        </w:rPr>
        <w:t xml:space="preserve">Zasiłek stały – </w:t>
      </w:r>
      <w:r>
        <w:rPr>
          <w:rStyle w:val="Domylnaczcionkaakapitu"/>
          <w:rFonts w:eastAsia="TimesNewRomanPS-BoldMT" w:cs="TimesNewRomanPS-BoldMT" w:ascii="Calibri" w:hAnsi="Calibri"/>
        </w:rPr>
        <w:t>j</w:t>
      </w:r>
      <w:r>
        <w:rPr>
          <w:rStyle w:val="Domylnaczcionkaakapitu"/>
          <w:rFonts w:eastAsia="TimesNewRomanPSMT;'Times New R" w:cs="TimesNewRomanPSMT;'Times New R" w:ascii="Calibri" w:hAnsi="Calibri"/>
        </w:rPr>
        <w:t>est to świadczenie obowiązkowe gminy, przyznawane na podstawie art. 37 ustawy                     o pomocy społecznej osobom niezdolnym do pracy z powodu wieku lub całkowicie niezdolnym do pracy, przy jednoczesnym spełnieniu kryterium dochodowego.</w:t>
      </w:r>
    </w:p>
    <w:p>
      <w:pPr>
        <w:pStyle w:val="Normal"/>
        <w:autoSpaceDE w:val="false"/>
        <w:spacing w:lineRule="auto" w:line="360"/>
        <w:jc w:val="both"/>
        <w:rPr/>
      </w:pPr>
      <w:r>
        <w:rPr>
          <w:rStyle w:val="Domylnaczcionkaakapitu"/>
          <w:rFonts w:eastAsia="TimesNewRomanPSMT;'Times New R" w:cs="Calibri" w:ascii="Calibri" w:hAnsi="Calibri"/>
        </w:rPr>
        <w:t>Zasiłek stały w 2025 roku ustalono w wysokości</w:t>
      </w:r>
      <w:r>
        <w:rPr>
          <w:rStyle w:val="Strong"/>
          <w:rFonts w:eastAsia="TimesNewRomanPSMT;'Times New R" w:cs="Calibri" w:ascii="Calibri" w:hAnsi="Calibri"/>
          <w:b w:val="false"/>
          <w:bCs w:val="false"/>
        </w:rPr>
        <w:t xml:space="preserve">  1 229,00 zł.</w:t>
        <w:tab/>
      </w:r>
      <w:r>
        <w:rPr>
          <w:rStyle w:val="Domylnaczcionkaakapitu"/>
          <w:rFonts w:eastAsia="TimesNewRomanPSMT;'Times New R" w:cs="Calibri" w:ascii="Calibri" w:hAnsi="Calibri"/>
        </w:rPr>
        <w:br/>
      </w:r>
      <w:r>
        <w:rPr>
          <w:rStyle w:val="Strong"/>
          <w:rFonts w:eastAsia="TimesNewRomanPSMT;'Times New R" w:cs="TimesNewRomanPSMT;'Times New R" w:ascii="Calibri" w:hAnsi="Calibri"/>
          <w:b w:val="false"/>
          <w:bCs w:val="false"/>
        </w:rPr>
        <w:t xml:space="preserve">Kwota zasiłku stałego nie może być niższa niż </w:t>
      </w:r>
      <w:r>
        <w:rPr>
          <w:rStyle w:val="Strong"/>
          <w:rFonts w:eastAsia="TimesNewRomanPSMT;'Times New R" w:cs="TimesNewRomanPSMT;'Times New R" w:ascii="Calibri" w:hAnsi="Calibri"/>
        </w:rPr>
        <w:t>100,00 zł miesięcznie.</w:t>
      </w:r>
    </w:p>
    <w:p>
      <w:pPr>
        <w:pStyle w:val="Normal"/>
        <w:autoSpaceDE w:val="false"/>
        <w:spacing w:lineRule="auto" w:line="360"/>
        <w:jc w:val="both"/>
        <w:rPr/>
      </w:pPr>
      <w:r>
        <w:rPr>
          <w:rStyle w:val="Domylnaczcionkaakapitu"/>
          <w:rFonts w:eastAsia="TimesNewRomanPS-BoldMT" w:cs="TimesNewRomanPS-BoldMT" w:ascii="Calibri" w:hAnsi="Calibri"/>
          <w:b/>
          <w:bCs/>
        </w:rPr>
        <w:t xml:space="preserve">Zasiłek okresowy - </w:t>
      </w:r>
      <w:r>
        <w:rPr>
          <w:rStyle w:val="Domylnaczcionkaakapitu"/>
          <w:rFonts w:eastAsia="TimesNewRomanPS-BoldMT" w:cs="TimesNewRomanPS-BoldMT" w:ascii="Calibri" w:hAnsi="Calibri"/>
        </w:rPr>
        <w:t>ś</w:t>
      </w:r>
      <w:r>
        <w:rPr>
          <w:rStyle w:val="Domylnaczcionkaakapitu"/>
          <w:rFonts w:eastAsia="TimesNewRomanPSMT;'Times New R" w:cs="TimesNewRomanPSMT;'Times New R" w:ascii="Calibri" w:hAnsi="Calibri"/>
        </w:rPr>
        <w:t>wiadczenie to przyznawane jest na podstawie art. 38 ustawy o pomocy społecznej  i przysługuje w szczególności ze względu na długotrwałą chorobę, niepełnosprawność, bezrobocie, możliwość utrzymania lub nabycia uprawnień do świadczeń z innych systemów zabezpieczenia społecznego, przy jednoczesnym spełnieniu kryterium dochodowego osoby samotnie gospodarującej lub gospodarującej w rodzinie.</w:t>
      </w:r>
    </w:p>
    <w:p>
      <w:pPr>
        <w:pStyle w:val="Normal"/>
        <w:autoSpaceDE w:val="false"/>
        <w:spacing w:lineRule="auto" w:line="360"/>
        <w:jc w:val="both"/>
        <w:rPr/>
      </w:pPr>
      <w:r>
        <w:rPr>
          <w:rStyle w:val="Domylnaczcionkaakapitu"/>
          <w:rFonts w:eastAsia="TimesNewRomanPS-BoldMT" w:cs="TimesNewRomanPS-BoldMT" w:ascii="Calibri" w:hAnsi="Calibri"/>
        </w:rPr>
        <w:t xml:space="preserve">Kwota zasiłku okresowego nie może być niższa niż </w:t>
      </w:r>
      <w:r>
        <w:rPr>
          <w:rStyle w:val="Domylnaczcionkaakapitu"/>
          <w:rFonts w:eastAsia="TimesNewRomanPS-BoldMT" w:cs="TimesNewRomanPS-BoldMT" w:ascii="Calibri" w:hAnsi="Calibri"/>
          <w:b/>
          <w:bCs/>
        </w:rPr>
        <w:t xml:space="preserve">20,00 zł miesięcznie. </w:t>
      </w:r>
      <w:r>
        <w:rPr>
          <w:rStyle w:val="Domylnaczcionkaakapitu"/>
          <w:rFonts w:eastAsia="TimesNewRomanPS-BoldMT" w:cs="TimesNewRomanPS-BoldMT" w:ascii="Calibri" w:hAnsi="Calibri"/>
        </w:rPr>
        <w:t xml:space="preserve">  </w:t>
      </w:r>
    </w:p>
    <w:p>
      <w:pPr>
        <w:pStyle w:val="Normal"/>
        <w:autoSpaceDE w:val="false"/>
        <w:spacing w:lineRule="auto" w:line="360"/>
        <w:jc w:val="both"/>
        <w:rPr/>
      </w:pPr>
      <w:r>
        <w:rPr>
          <w:rStyle w:val="Domylnaczcionkaakapitu"/>
          <w:rFonts w:eastAsia="TimesNewRomanPS-BoldMT" w:cs="TimesNewRomanPS-BoldMT" w:ascii="Calibri" w:hAnsi="Calibri"/>
          <w:b/>
          <w:bCs/>
        </w:rPr>
        <w:t xml:space="preserve">Zasiłek celowy – </w:t>
      </w:r>
      <w:r>
        <w:rPr>
          <w:rStyle w:val="Domylnaczcionkaakapitu"/>
          <w:rFonts w:eastAsia="TimesNewRomanPSMT;'Times New R" w:cs="TimesNewRomanPSMT;'Times New R" w:ascii="Calibri" w:hAnsi="Calibri"/>
        </w:rPr>
        <w:t>może być przyznany w szczególności na pokrycie części lub całości kosztów zakupu żywności, leków i leczenia, zakup opału, odzieży, niezbędnych przedmiotów użytku domowego, drobnych remontów i napraw w mieszkaniu, a także kosztów pogrzebu.</w:t>
      </w:r>
    </w:p>
    <w:p>
      <w:pPr>
        <w:pStyle w:val="Normal"/>
        <w:autoSpaceDE w:val="false"/>
        <w:spacing w:lineRule="auto" w:line="360"/>
        <w:jc w:val="both"/>
        <w:rPr>
          <w:rFonts w:ascii="Calibri" w:hAnsi="Calibri" w:eastAsia="TimesNewRomanPSMT;'Times New R" w:cs="TimesNewRomanPSMT;'Times New R"/>
        </w:rPr>
      </w:pPr>
      <w:r>
        <w:rPr>
          <w:rFonts w:eastAsia="TimesNewRomanPSMT;'Times New R" w:cs="TimesNewRomanPSMT;'Times New R" w:ascii="Calibri" w:hAnsi="Calibri"/>
        </w:rPr>
        <w:t>Zasiłek celowy może być również przyznany osobie lub rodzinie, która poniosła straty w wyniku: zdarzenia losowego, klęski żywiołowej lub ekologicznej.</w:t>
      </w:r>
    </w:p>
    <w:p>
      <w:pPr>
        <w:pStyle w:val="Normal"/>
        <w:autoSpaceDE w:val="false"/>
        <w:spacing w:lineRule="auto" w:line="360"/>
        <w:jc w:val="both"/>
        <w:rPr>
          <w:rFonts w:ascii="Calibri" w:hAnsi="Calibri" w:eastAsia="TimesNewRomanPSMT;'Times New R" w:cs="TimesNewRomanPSMT;'Times New R"/>
        </w:rPr>
      </w:pPr>
      <w:r>
        <w:rPr>
          <w:rFonts w:eastAsia="TimesNewRomanPSMT;'Times New R" w:cs="TimesNewRomanPSMT;'Times New R" w:ascii="Calibri" w:hAnsi="Calibri"/>
        </w:rPr>
        <w:t>W tych przypadkach pomoc może być przyznana niezależnie od dochodu i może nie podlegać zwrotowi. Sytuacja, w której dokonuje się zwrotu pomocy dotyczy osób lub rodzin z przekraczającym kryterium dochodowym.</w:t>
      </w:r>
    </w:p>
    <w:p>
      <w:pPr>
        <w:pStyle w:val="Normal"/>
        <w:autoSpaceDE w:val="false"/>
        <w:spacing w:lineRule="auto" w:line="360"/>
        <w:jc w:val="both"/>
        <w:rPr/>
      </w:pPr>
      <w:r>
        <w:rPr>
          <w:rStyle w:val="Domylnaczcionkaakapitu"/>
          <w:rFonts w:eastAsia="TimesNewRomanPSMT;'Times New R" w:cs="TimesNewRomanPSMT;'Times New R" w:ascii="Calibri" w:hAnsi="Calibri"/>
          <w:b/>
          <w:bCs/>
        </w:rPr>
        <w:t xml:space="preserve">Zasiłek celowy z 200% </w:t>
      </w:r>
      <w:r>
        <w:rPr>
          <w:rStyle w:val="Domylnaczcionkaakapitu"/>
          <w:rFonts w:eastAsia="TimesNewRomanPSMT;'Times New R" w:cs="TimesNewRomanPSMT;'Times New R" w:ascii="Calibri" w:hAnsi="Calibri"/>
        </w:rPr>
        <w:t>- może być przyznany, gdy dochód nie przekracza 200% kryterium dochodowego oraz spełnione zostały warunki uprawniającego do przyznania pomocy w formie zasiłku celowego na zakup posiłku lub żywności, zgodnie z Uchwałą nr XVII/121/2025 Rady Miejskiej Tomaszowa Mazowieckiego z dnia 25 marca 2025 r. w sprawie podwyższenia kryteriów dochodowych oraz odstąpienia od żądania zwrotu wydatków za świadczenia z pomocy społecznej.</w:t>
      </w:r>
    </w:p>
    <w:p>
      <w:pPr>
        <w:pStyle w:val="Normal"/>
        <w:autoSpaceDE w:val="false"/>
        <w:spacing w:lineRule="auto" w:line="360"/>
        <w:jc w:val="both"/>
        <w:rPr/>
      </w:pPr>
      <w:r>
        <w:rPr>
          <w:rStyle w:val="Domylnaczcionkaakapitu"/>
          <w:rFonts w:eastAsia="TimesNewRomanPS-BoldMT" w:cs="TimesNewRomanPS-BoldMT" w:ascii="Calibri" w:hAnsi="Calibri"/>
          <w:b/>
          <w:bCs/>
        </w:rPr>
        <w:t xml:space="preserve">Specjalny zasiłek celowy – </w:t>
      </w:r>
      <w:r>
        <w:rPr>
          <w:rStyle w:val="Domylnaczcionkaakapitu"/>
          <w:rFonts w:eastAsia="TimesNewRomanPSMT;'Times New R" w:cs="TimesNewRomanPSMT;'Times New R" w:ascii="Calibri" w:hAnsi="Calibri"/>
        </w:rPr>
        <w:t>może być przyznany w szczególnie uzasadnionych przypadkach osobie albo rodzinie o dochodach przekraczających kryterium dochodowe.</w:t>
      </w:r>
    </w:p>
    <w:p>
      <w:pPr>
        <w:pStyle w:val="Normal"/>
        <w:autoSpaceDE w:val="false"/>
        <w:spacing w:lineRule="auto" w:line="360"/>
        <w:jc w:val="both"/>
        <w:rPr>
          <w:rFonts w:ascii="Calibri" w:hAnsi="Calibri" w:eastAsia="TimesNewRomanPSMT;'Times New R" w:cs="TimesNewRomanPSMT;'Times New R"/>
        </w:rPr>
      </w:pPr>
      <w:r>
        <w:rPr>
          <w:rFonts w:eastAsia="TimesNewRomanPSMT;'Times New R" w:cs="TimesNewRomanPSMT;'Times New R" w:ascii="Calibri" w:hAnsi="Calibri"/>
        </w:rPr>
        <w:t>Pomoc ta nie podlega zwrotowi jeśli wysokość pomocy (wartość) nie przekroczy odpowiedniego kryterium dochodowego.</w:t>
      </w:r>
    </w:p>
    <w:p>
      <w:pPr>
        <w:pStyle w:val="BodyText"/>
        <w:spacing w:lineRule="auto" w:line="360"/>
        <w:jc w:val="both"/>
        <w:rPr/>
      </w:pPr>
      <w:r>
        <w:rPr>
          <w:rStyle w:val="Strong"/>
          <w:rFonts w:ascii="Calibri" w:hAnsi="Calibri"/>
        </w:rPr>
        <w:t xml:space="preserve">Zasiłek celowy na pokrycie wydatków powstałych w wyniku zdarzenia losowego - </w:t>
      </w:r>
      <w:r>
        <w:rPr>
          <w:rStyle w:val="Strong"/>
          <w:rFonts w:ascii="Calibri" w:hAnsi="Calibri"/>
          <w:b w:val="false"/>
          <w:bCs w:val="false"/>
        </w:rPr>
        <w:t>w</w:t>
      </w:r>
      <w:r>
        <w:rPr>
          <w:rStyle w:val="Domylnaczcionkaakapitu"/>
          <w:rFonts w:ascii="Calibri" w:hAnsi="Calibri"/>
        </w:rPr>
        <w:t xml:space="preserve"> myśl art. 40. ust. 1 i 3 Zasiłek celowy może być przyznany osobie albo rodzinie, które poniosły straty w wyniku zdarzenia losowego, może być przyznany niezależnie od dochodu i może nie podlegać zwrotowi.</w:t>
      </w:r>
    </w:p>
    <w:p>
      <w:pPr>
        <w:pStyle w:val="Normal"/>
        <w:autoSpaceDE w:val="false"/>
        <w:spacing w:lineRule="auto" w:line="360"/>
        <w:jc w:val="both"/>
        <w:rPr/>
      </w:pPr>
      <w:r>
        <w:rPr>
          <w:rStyle w:val="Domylnaczcionkaakapitu"/>
          <w:rFonts w:eastAsia="TimesNewRomanPS-BoldMT" w:cs="TimesNewRomanPS-BoldMT" w:ascii="Calibri" w:hAnsi="Calibri"/>
          <w:b/>
          <w:bCs/>
        </w:rPr>
        <w:t xml:space="preserve">Posiłki – </w:t>
      </w:r>
      <w:r>
        <w:rPr>
          <w:rStyle w:val="Domylnaczcionkaakapitu"/>
          <w:rFonts w:ascii="Calibri" w:hAnsi="Calibri"/>
        </w:rPr>
        <w:t xml:space="preserve">tą </w:t>
      </w:r>
      <w:r>
        <w:rPr>
          <w:rStyle w:val="Domylnaczcionkaakapitu"/>
          <w:rFonts w:eastAsia="TimesNewRomanPSMT;'Times New R" w:cs="TimesNewRomanPSMT;'Times New R" w:ascii="Calibri" w:hAnsi="Calibri"/>
        </w:rPr>
        <w:t xml:space="preserve">formą pomocy obejmowane są osoby pozbawione posiłków (szczególnie dzieci </w:t>
        <w:br/>
        <w:t>i uczniowie, osoby samotne, w podeszłym wieku, chore lub osoby niepełnosprawne) ze względu na trudną sytuację materialną  (jeśli nie przekraczają określonych progów dochodowych).</w:t>
      </w:r>
    </w:p>
    <w:p>
      <w:pPr>
        <w:pStyle w:val="Normal"/>
        <w:autoSpaceDE w:val="false"/>
        <w:spacing w:lineRule="auto" w:line="360"/>
        <w:jc w:val="both"/>
        <w:rPr>
          <w:rFonts w:ascii="Calibri" w:hAnsi="Calibri" w:eastAsia="TimesNewRomanPSMT;'Times New R" w:cs="TimesNewRomanPSMT;'Times New R"/>
        </w:rPr>
      </w:pPr>
      <w:r>
        <w:rPr>
          <w:rFonts w:eastAsia="TimesNewRomanPSMT;'Times New R" w:cs="TimesNewRomanPSMT;'Times New R" w:ascii="Calibri" w:hAnsi="Calibri"/>
        </w:rPr>
      </w:r>
    </w:p>
    <w:p>
      <w:pPr>
        <w:pStyle w:val="Normal"/>
        <w:autoSpaceDE w:val="false"/>
        <w:spacing w:lineRule="auto" w:line="360"/>
        <w:jc w:val="both"/>
        <w:rPr/>
      </w:pPr>
      <w:r>
        <w:rPr>
          <w:rStyle w:val="Domylnaczcionkaakapitu"/>
          <w:rFonts w:eastAsia="TimesNewRomanPS-BoldMT" w:cs="TimesNewRomanPS-BoldMT" w:ascii="Calibri" w:hAnsi="Calibri"/>
          <w:b/>
          <w:bCs/>
        </w:rPr>
        <w:t xml:space="preserve">Usługi opiekuńcze – </w:t>
      </w:r>
      <w:r>
        <w:rPr>
          <w:rStyle w:val="Domylnaczcionkaakapitu"/>
          <w:rFonts w:eastAsia="TimesNewRomanPS-BoldMT" w:cs="TimesNewRomanPS-BoldMT" w:ascii="Calibri" w:hAnsi="Calibri"/>
        </w:rPr>
        <w:t>u</w:t>
      </w:r>
      <w:r>
        <w:rPr>
          <w:rStyle w:val="Domylnaczcionkaakapitu"/>
          <w:rFonts w:eastAsia="TimesNewRomanPSMT;'Times New R" w:cs="TimesNewRomanPSMT;'Times New R" w:ascii="Calibri" w:hAnsi="Calibri"/>
        </w:rPr>
        <w:t>stawa o pomocy społecznej wskazuje, że pomoc w formie usług przysługuje osobom samotnym, które z powodu wieku, choroby, niepełnosprawności lub innej przyczyny wymagają pomocy innych osób, a są jej pozbawione. Usługi opiekuńcze mogą być przyznane również osobom, które wymagają pomocy innych osób, a rodzina nie może takiej pomocy zapewnić.</w:t>
      </w:r>
    </w:p>
    <w:p>
      <w:pPr>
        <w:pStyle w:val="Normal"/>
        <w:autoSpaceDE w:val="false"/>
        <w:spacing w:lineRule="auto" w:line="360"/>
        <w:jc w:val="both"/>
        <w:rPr>
          <w:rFonts w:ascii="Calibri" w:hAnsi="Calibri" w:eastAsia="TimesNewRomanPSMT;'Times New R" w:cs="TimesNewRomanPSMT;'Times New R"/>
        </w:rPr>
      </w:pPr>
      <w:r>
        <w:rPr>
          <w:rFonts w:eastAsia="TimesNewRomanPSMT;'Times New R" w:cs="TimesNewRomanPSMT;'Times New R" w:ascii="Calibri" w:hAnsi="Calibri"/>
        </w:rPr>
        <w:t>Usługi świadczone są w mieszkaniu osoby, która potrzebuje pomocy.</w:t>
      </w:r>
    </w:p>
    <w:p>
      <w:pPr>
        <w:pStyle w:val="Normal"/>
        <w:autoSpaceDE w:val="false"/>
        <w:spacing w:lineRule="auto" w:line="360"/>
        <w:jc w:val="both"/>
        <w:rPr>
          <w:rFonts w:ascii="Calibri" w:hAnsi="Calibri" w:eastAsia="TimesNewRomanPSMT;'Times New R" w:cs="TimesNewRomanPSMT;'Times New R"/>
        </w:rPr>
      </w:pPr>
      <w:r>
        <w:rPr>
          <w:rFonts w:eastAsia="TimesNewRomanPSMT;'Times New R" w:cs="TimesNewRomanPSMT;'Times New R" w:ascii="Calibri" w:hAnsi="Calibri"/>
        </w:rPr>
        <w:t>Usługi opiekuńcze mogą obejmować:</w:t>
      </w:r>
    </w:p>
    <w:p>
      <w:pPr>
        <w:pStyle w:val="Normal"/>
        <w:tabs>
          <w:tab w:val="clear" w:pos="709"/>
          <w:tab w:val="left" w:pos="-38" w:leader="none"/>
        </w:tabs>
        <w:autoSpaceDE w:val="false"/>
        <w:spacing w:lineRule="auto" w:line="360"/>
        <w:jc w:val="both"/>
        <w:rPr>
          <w:rFonts w:ascii="Calibri" w:hAnsi="Calibri" w:eastAsia="TimesNewRomanPSMT;'Times New R" w:cs="TimesNewRomanPSMT;'Times New R"/>
        </w:rPr>
      </w:pPr>
      <w:r>
        <w:rPr>
          <w:rFonts w:eastAsia="TimesNewRomanPSMT;'Times New R" w:cs="TimesNewRomanPSMT;'Times New R" w:ascii="Calibri" w:hAnsi="Calibri"/>
        </w:rPr>
        <w:t>-  pomoc w codziennych zajęciach, takich jak robienie zakupów, sprzątanie, gotowanie,  załatwianie spraw w urzędach itp.,</w:t>
      </w:r>
    </w:p>
    <w:p>
      <w:pPr>
        <w:pStyle w:val="Normal"/>
        <w:autoSpaceDE w:val="false"/>
        <w:spacing w:lineRule="auto" w:line="360"/>
        <w:jc w:val="both"/>
        <w:rPr>
          <w:rFonts w:ascii="Calibri" w:hAnsi="Calibri" w:eastAsia="TimesNewRomanPSMT;'Times New R" w:cs="TimesNewRomanPSMT;'Times New R"/>
        </w:rPr>
      </w:pPr>
      <w:r>
        <w:rPr>
          <w:rFonts w:eastAsia="TimesNewRomanPSMT;'Times New R" w:cs="TimesNewRomanPSMT;'Times New R" w:ascii="Calibri" w:hAnsi="Calibri"/>
        </w:rPr>
        <w:t>-  mycie, kąpanie, ubieranie, pomoc dla osób chorych, dozowanie lekarstw, prześciełanie łóżka, zapobieganie powstawaniu odleżyn i odparzeń, karmienie,</w:t>
      </w:r>
    </w:p>
    <w:p>
      <w:pPr>
        <w:pStyle w:val="Normal"/>
        <w:autoSpaceDE w:val="false"/>
        <w:spacing w:lineRule="auto" w:line="360"/>
        <w:jc w:val="both"/>
        <w:rPr>
          <w:rFonts w:ascii="Calibri" w:hAnsi="Calibri" w:eastAsia="TimesNewRomanPSMT;'Times New R" w:cs="TimesNewRomanPSMT;'Times New R"/>
        </w:rPr>
      </w:pPr>
      <w:r>
        <w:rPr>
          <w:rFonts w:eastAsia="TimesNewRomanPSMT;'Times New R" w:cs="TimesNewRomanPSMT;'Times New R" w:ascii="Calibri" w:hAnsi="Calibri"/>
        </w:rPr>
        <w:t>-   w miarę możliwości zapewnienie kontaktów z rodziną i otoczeniem.</w:t>
      </w:r>
    </w:p>
    <w:p>
      <w:pPr>
        <w:pStyle w:val="Normal"/>
        <w:autoSpaceDE w:val="false"/>
        <w:spacing w:lineRule="auto" w:line="360"/>
        <w:jc w:val="both"/>
        <w:rPr/>
      </w:pPr>
      <w:r>
        <w:rPr>
          <w:rStyle w:val="Domylnaczcionkaakapitu"/>
          <w:rFonts w:eastAsia="TimesNewRomanPSMT;'Times New R" w:cs="TimesNewRomanPSMT;'Times New R" w:ascii="Calibri" w:hAnsi="Calibri"/>
        </w:rPr>
        <w:t xml:space="preserve">Koszt </w:t>
      </w:r>
      <w:r>
        <w:rPr>
          <w:rStyle w:val="Domylnaczcionkaakapitu"/>
          <w:rFonts w:eastAsia="681E2cc2Arial" w:cs="681E2cc2Arial" w:ascii="Calibri" w:hAnsi="Calibri"/>
        </w:rPr>
        <w:t xml:space="preserve">jednej roboczogodziny usług opiekuńczych wynosi </w:t>
      </w:r>
      <w:r>
        <w:rPr>
          <w:rStyle w:val="Domylnaczcionkaakapitu"/>
          <w:rFonts w:eastAsia="681E2cc2Arial" w:cs="681E2cc2Arial" w:ascii="Calibri" w:hAnsi="Calibri"/>
          <w:b/>
          <w:bCs/>
        </w:rPr>
        <w:t>15,00 zł</w:t>
      </w:r>
      <w:r>
        <w:rPr>
          <w:rStyle w:val="Domylnaczcionkaakapitu"/>
          <w:rFonts w:eastAsia="681E2cc2Arial" w:cs="681E2cc2Arial" w:ascii="Calibri" w:hAnsi="Calibri"/>
        </w:rPr>
        <w:t xml:space="preserve"> - zgodnie z </w:t>
      </w:r>
      <w:r>
        <w:rPr>
          <w:rStyle w:val="Domylnaczcionkaakapitu"/>
          <w:rFonts w:ascii="Calibri" w:hAnsi="Calibri"/>
        </w:rPr>
        <w:t xml:space="preserve">Uchwałą </w:t>
        <w:br/>
        <w:t xml:space="preserve">Nr LXXXIX/695/2024 Rady Miejskiej Tomaszowa Maz. z dnia 25 marca 2024r. w sprawie zatwierdzenia projektu pn. "Tomaszowskie Centrum Usług Środowiskowych" realizowanego </w:t>
        <w:br/>
        <w:t xml:space="preserve">w ramach programu regionalnego Fundusze Europejskie dla Łódzkiego 2021-2027 i Uchwałą </w:t>
        <w:br/>
        <w:t xml:space="preserve">Nr LXXXIV/669/2023 Rady Miejskiej Tomaszowa Maz. z dnia 30 listopada 2023 r. w sprawie określenia szczegółowych warunków przyznawania i odpłatności za usługi sąsiedzkie, usługi opiekuńcze </w:t>
        <w:br/>
        <w:t xml:space="preserve">i specjalistyczne usługi opiekuńcze z wyłączeniem specjalistycznych usług opiekuńczych dla osób </w:t>
        <w:br/>
        <w:t xml:space="preserve">z zaburzeniami psychicznymi oraz szczegółowych warunków częściowego i całkowitego zwolnienia </w:t>
        <w:br/>
        <w:t xml:space="preserve">z opłat, jak również trybu ich pobierania (Dz. Urz. Woj. Łódzkiego z 15 grudnia 2023r. poz.10468; </w:t>
        <w:br/>
        <w:t xml:space="preserve">z dnia 10 lipca 2024 r. poz. 5413). </w:t>
        <w:tab/>
      </w:r>
      <w:r>
        <w:rPr>
          <w:rStyle w:val="Domylnaczcionkaakapitu"/>
          <w:rFonts w:eastAsia="681E2cc2Arial" w:cs="681E2cc2Arial" w:ascii="Calibri" w:hAnsi="Calibri"/>
        </w:rPr>
        <w:br/>
      </w:r>
    </w:p>
    <w:p>
      <w:pPr>
        <w:pStyle w:val="Normal"/>
        <w:autoSpaceDE w:val="false"/>
        <w:spacing w:lineRule="auto" w:line="360"/>
        <w:jc w:val="both"/>
        <w:rPr/>
      </w:pPr>
      <w:r>
        <w:rPr>
          <w:rStyle w:val="Domylnaczcionkaakapitu"/>
          <w:rFonts w:eastAsia="681E2cc2Arial" w:cs="681E2cc2Arial" w:ascii="Calibri" w:hAnsi="Calibri"/>
          <w:b/>
          <w:bCs/>
        </w:rPr>
        <w:t>Specjalistyczne usługi opiekuńcze</w:t>
      </w:r>
      <w:r>
        <w:rPr>
          <w:rStyle w:val="Domylnaczcionkaakapitu"/>
          <w:rFonts w:eastAsia="681E2cc2Arial" w:cs="681E2cc2Arial" w:ascii="Calibri" w:hAnsi="Calibri"/>
        </w:rPr>
        <w:t xml:space="preserve"> – </w:t>
      </w:r>
      <w:r>
        <w:rPr>
          <w:rStyle w:val="Domylnaczcionkaakapitu"/>
          <w:rFonts w:eastAsia="681E2cc2Arial" w:cs="681E2cc2Arial" w:ascii="Calibri" w:hAnsi="Calibri"/>
          <w:b/>
          <w:bCs/>
        </w:rPr>
        <w:t xml:space="preserve">17 zł za </w:t>
      </w:r>
      <w:r>
        <w:rPr>
          <w:rStyle w:val="Strong"/>
          <w:rFonts w:ascii="Calibri" w:hAnsi="Calibri"/>
        </w:rPr>
        <w:t>1 roboczogodzinę.</w:t>
      </w:r>
    </w:p>
    <w:p>
      <w:pPr>
        <w:pStyle w:val="Normal"/>
        <w:autoSpaceDE w:val="false"/>
        <w:spacing w:lineRule="auto" w:line="360"/>
        <w:jc w:val="both"/>
        <w:rPr/>
      </w:pPr>
      <w:r>
        <w:rPr>
          <w:rStyle w:val="Domylnaczcionkaakapitu"/>
          <w:rFonts w:ascii="Calibri" w:hAnsi="Calibri"/>
        </w:rPr>
        <w:tab/>
        <w:t xml:space="preserve">Jest </w:t>
      </w:r>
      <w:r>
        <w:rPr>
          <w:rStyle w:val="Domylnaczcionkaakapitu"/>
          <w:rFonts w:ascii="Calibri" w:hAnsi="Calibri"/>
          <w:color w:val="0A0A0A"/>
        </w:rPr>
        <w:t>to wsparcie dostosowane do specyficznych potrzeb osób z zaburzeniami psychicznymi lub innymi schorzeniami/niepełnosprawnościami, które wymagają pomocy wykraczającej poza standardową opiekę, świadczone przez osoby z kwalifikacjami (np. psycholog, pielęgniarka, terapeuta), zapewniające wsparcie w powrocie do zdrowia i funkcjonowaniu w społeczeństwie.</w:t>
      </w:r>
    </w:p>
    <w:p>
      <w:pPr>
        <w:pStyle w:val="Normal"/>
        <w:autoSpaceDE w:val="false"/>
        <w:spacing w:lineRule="auto" w:line="360"/>
        <w:jc w:val="both"/>
        <w:rPr/>
      </w:pPr>
      <w:r>
        <w:rPr>
          <w:rStyle w:val="Domylnaczcionkaakapitu"/>
          <w:rFonts w:eastAsia="681E2cc2Arial" w:cs="681E2cc2Arial" w:ascii="Calibri" w:hAnsi="Calibri"/>
          <w:b/>
          <w:bCs/>
        </w:rPr>
        <w:t xml:space="preserve">Specjalistyczne usługi opiekuńcze świadczone przez asystenta osobistego osoby niepełnosprawnej – 17 zł za </w:t>
      </w:r>
      <w:r>
        <w:rPr>
          <w:rStyle w:val="Strong"/>
          <w:rFonts w:ascii="Calibri" w:hAnsi="Calibri"/>
        </w:rPr>
        <w:t>1 roboczogodzinę.</w:t>
      </w:r>
      <w:r>
        <w:rPr>
          <w:rStyle w:val="Domylnaczcionkaakapitu"/>
          <w:rFonts w:ascii="Calibri" w:hAnsi="Calibri"/>
        </w:rPr>
        <w:tab/>
        <w:br/>
        <w:tab/>
        <w:t xml:space="preserve">Jest to kompleksowe wsparcie wykraczające poza zwykłą pomoc. Obejmuje rozwój umiejętności, rehabilitację, pomoc w leczeniu, higienie, komunikacji i aktywności społecznej, </w:t>
        <w:br/>
        <w:t>z uwzględnieniem specyfiki schorzenia, często przez osoby z przygotowaniem zawodowym, w celu zwiększenia samodzielności podopiecznego i jego funkcjonowania w społeczeństwie.</w:t>
      </w:r>
    </w:p>
    <w:p>
      <w:pPr>
        <w:pStyle w:val="Normal"/>
        <w:autoSpaceDE w:val="false"/>
        <w:spacing w:lineRule="auto" w:line="360"/>
        <w:jc w:val="both"/>
        <w:rPr/>
      </w:pPr>
      <w:r>
        <w:rPr>
          <w:rStyle w:val="Domylnaczcionkaakapitu"/>
          <w:rFonts w:eastAsia="TimesNewRomanPSMT;'Times New R" w:cs="TimesNewRomanPSMT;'Times New R" w:ascii="Calibri" w:hAnsi="Calibri"/>
          <w:b/>
          <w:bCs/>
        </w:rPr>
        <w:t xml:space="preserve">Specjalistyczne usługi opiekuńcze dla osób z zaburzeniami psychicznymi, zapewnienie dzieciom dostępu do zajęć rehabilitacyjnych - koszt </w:t>
      </w:r>
      <w:r>
        <w:rPr>
          <w:rStyle w:val="Domylnaczcionkaakapitu"/>
          <w:rFonts w:eastAsia="681E2cc2Arial" w:cs="681E2cc2Arial" w:ascii="Calibri" w:hAnsi="Calibri"/>
          <w:b/>
          <w:bCs/>
        </w:rPr>
        <w:t>jednej roboczogodziny specjalistycznych usług opiekuńczych wynosił -  130,00 zł.</w:t>
      </w:r>
    </w:p>
    <w:p>
      <w:pPr>
        <w:pStyle w:val="Normal"/>
        <w:autoSpaceDE w:val="false"/>
        <w:spacing w:lineRule="auto" w:line="360"/>
        <w:jc w:val="both"/>
        <w:rPr>
          <w:rFonts w:ascii="Calibri" w:hAnsi="Calibri" w:eastAsia="TimesNewRomanPSMT;'Times New R" w:cs="TimesNewRomanPSMT;'Times New R"/>
        </w:rPr>
      </w:pPr>
      <w:r>
        <w:rPr>
          <w:rFonts w:eastAsia="TimesNewRomanPSMT;'Times New R" w:cs="TimesNewRomanPSMT;'Times New R" w:ascii="Calibri" w:hAnsi="Calibri"/>
        </w:rPr>
        <w:tab/>
        <w:t>Rozporządzenie Ministra Polityki Społecznej w sprawie specjalistycznych usług opiekuńczych ustala rodzaje specjalistycznych usług dostosowanych do szczególnych potrzeb osób wymagających pomocy w formie usług wynikających z rodzaju ich schorzenia lub niepełnosprawności, świadczone przez osoby ze specjalistycznym przygotowaniem zawodowym.</w:t>
      </w:r>
    </w:p>
    <w:p>
      <w:pPr>
        <w:pStyle w:val="Normal"/>
        <w:spacing w:lineRule="auto" w:line="360"/>
        <w:jc w:val="both"/>
        <w:rPr/>
      </w:pPr>
      <w:r>
        <w:rPr>
          <w:rStyle w:val="Domylnaczcionkaakapitu"/>
          <w:rFonts w:cs="Calibri" w:ascii="Calibri" w:hAnsi="Calibri"/>
        </w:rPr>
        <w:t xml:space="preserve">Ośrodek realizował w 2025 r. również pomoc dla rodzin w zakresie </w:t>
      </w:r>
      <w:r>
        <w:rPr>
          <w:rStyle w:val="Domylnaczcionkaakapitu"/>
          <w:rFonts w:ascii="Calibri" w:hAnsi="Calibri"/>
        </w:rPr>
        <w:t>Specjalistycznych usług opiekuńczych (SUO) dla osób z zaburzeniami psychicznymi, w tym </w:t>
      </w:r>
      <w:r>
        <w:rPr>
          <w:rStyle w:val="Strong"/>
          <w:rFonts w:ascii="Calibri" w:hAnsi="Calibri"/>
          <w:b w:val="false"/>
          <w:color w:val="0A0A0A"/>
        </w:rPr>
        <w:t>zapewnienie dzieciom dostępu do zajęć rehabilitacyjnych</w:t>
      </w:r>
      <w:r>
        <w:rPr>
          <w:rStyle w:val="Domylnaczcionkaakapitu"/>
          <w:rFonts w:ascii="Calibri" w:hAnsi="Calibri"/>
          <w:color w:val="0A0A0A"/>
        </w:rPr>
        <w:t xml:space="preserve">, zgodnie z Rozporządzeniem Ministra Polityki Społecznej z 22 września 2005 r. w sprawie specjalistycznych usług opiekuńczych (Dz.U. 2024 poz. 816), opartych na Ustawie </w:t>
        <w:br/>
        <w:t>o pomocy społecznej (Dz.U. 2025 poz. 1241 z poźn.zm.). </w:t>
      </w:r>
    </w:p>
    <w:p>
      <w:pPr>
        <w:pStyle w:val="Normal"/>
        <w:spacing w:lineRule="auto" w:line="360"/>
        <w:jc w:val="both"/>
        <w:rPr>
          <w:rFonts w:ascii="Calibri" w:hAnsi="Calibri"/>
        </w:rPr>
      </w:pPr>
      <w:r>
        <w:rPr>
          <w:rFonts w:ascii="Calibri" w:hAnsi="Calibri"/>
        </w:rPr>
      </w:r>
    </w:p>
    <w:p>
      <w:pPr>
        <w:pStyle w:val="Normal"/>
        <w:spacing w:lineRule="auto" w:line="360"/>
        <w:jc w:val="both"/>
        <w:rPr>
          <w:rFonts w:ascii="Calibri" w:hAnsi="Calibri"/>
        </w:rPr>
      </w:pPr>
      <w:r>
        <w:rPr>
          <w:rFonts w:ascii="Calibri" w:hAnsi="Calibri"/>
        </w:rPr>
      </w:r>
    </w:p>
    <w:p>
      <w:pPr>
        <w:pStyle w:val="Normal"/>
        <w:spacing w:lineRule="auto" w:line="360"/>
        <w:jc w:val="both"/>
        <w:rPr/>
      </w:pPr>
      <w:r>
        <w:rPr>
          <w:rStyle w:val="Domylnaczcionkaakapitu"/>
          <w:rFonts w:cs="Calibri" w:ascii="Calibri" w:hAnsi="Calibri"/>
        </w:rPr>
        <w:t xml:space="preserve">W 2025 roku z tej formy pomocy skorzystało  </w:t>
      </w:r>
      <w:r>
        <w:rPr>
          <w:rStyle w:val="Domylnaczcionkaakapitu"/>
          <w:rFonts w:cs="Calibri" w:ascii="Calibri" w:hAnsi="Calibri"/>
          <w:b/>
          <w:bCs/>
        </w:rPr>
        <w:t>11 dzieci</w:t>
      </w:r>
      <w:r>
        <w:rPr>
          <w:rStyle w:val="Domylnaczcionkaakapitu"/>
          <w:rFonts w:cs="Calibri" w:ascii="Calibri" w:hAnsi="Calibri"/>
        </w:rPr>
        <w:t>, pomoc realizowana była w zakresie:</w:t>
      </w:r>
    </w:p>
    <w:p>
      <w:pPr>
        <w:pStyle w:val="Normal"/>
        <w:numPr>
          <w:ilvl w:val="0"/>
          <w:numId w:val="22"/>
        </w:numPr>
        <w:spacing w:lineRule="auto" w:line="360"/>
        <w:rPr>
          <w:rFonts w:ascii="Calibri" w:hAnsi="Calibri" w:cs="Calibri"/>
        </w:rPr>
      </w:pPr>
      <w:r>
        <w:rPr>
          <w:rFonts w:cs="Calibri" w:ascii="Calibri" w:hAnsi="Calibri"/>
        </w:rPr>
        <w:t>oligofrenopedagogiki,</w:t>
      </w:r>
    </w:p>
    <w:p>
      <w:pPr>
        <w:pStyle w:val="Normal"/>
        <w:numPr>
          <w:ilvl w:val="0"/>
          <w:numId w:val="7"/>
        </w:numPr>
        <w:spacing w:lineRule="auto" w:line="360"/>
        <w:rPr>
          <w:rFonts w:ascii="Calibri" w:hAnsi="Calibri" w:cs="Calibri"/>
        </w:rPr>
      </w:pPr>
      <w:r>
        <w:rPr>
          <w:rFonts w:cs="Calibri" w:ascii="Calibri" w:hAnsi="Calibri"/>
        </w:rPr>
        <w:t>neurologopedii,</w:t>
      </w:r>
    </w:p>
    <w:p>
      <w:pPr>
        <w:pStyle w:val="Normal"/>
        <w:numPr>
          <w:ilvl w:val="0"/>
          <w:numId w:val="7"/>
        </w:numPr>
        <w:spacing w:lineRule="auto" w:line="360"/>
        <w:rPr>
          <w:rFonts w:ascii="Calibri" w:hAnsi="Calibri" w:cs="Calibri"/>
        </w:rPr>
      </w:pPr>
      <w:r>
        <w:rPr>
          <w:rFonts w:cs="Calibri" w:ascii="Calibri" w:hAnsi="Calibri"/>
        </w:rPr>
        <w:t>logopedii,</w:t>
      </w:r>
    </w:p>
    <w:p>
      <w:pPr>
        <w:pStyle w:val="Normal"/>
        <w:numPr>
          <w:ilvl w:val="0"/>
          <w:numId w:val="7"/>
        </w:numPr>
        <w:spacing w:lineRule="auto" w:line="360"/>
        <w:rPr>
          <w:rFonts w:ascii="Calibri" w:hAnsi="Calibri" w:cs="Calibri"/>
        </w:rPr>
      </w:pPr>
      <w:r>
        <w:rPr>
          <w:rFonts w:cs="Calibri" w:ascii="Calibri" w:hAnsi="Calibri"/>
        </w:rPr>
        <w:t>rehabilitacji ruchowej,</w:t>
      </w:r>
    </w:p>
    <w:p>
      <w:pPr>
        <w:pStyle w:val="Normal"/>
        <w:numPr>
          <w:ilvl w:val="0"/>
          <w:numId w:val="7"/>
        </w:numPr>
        <w:spacing w:lineRule="auto" w:line="360"/>
        <w:rPr>
          <w:rFonts w:ascii="Calibri" w:hAnsi="Calibri" w:cs="Calibri"/>
        </w:rPr>
      </w:pPr>
      <w:r>
        <w:rPr>
          <w:rFonts w:cs="Calibri" w:ascii="Calibri" w:hAnsi="Calibri"/>
        </w:rPr>
        <w:t>integracji sensorycznej,</w:t>
      </w:r>
    </w:p>
    <w:p>
      <w:pPr>
        <w:pStyle w:val="Normal"/>
        <w:numPr>
          <w:ilvl w:val="0"/>
          <w:numId w:val="7"/>
        </w:numPr>
        <w:spacing w:lineRule="auto" w:line="360"/>
        <w:rPr>
          <w:rFonts w:ascii="Calibri" w:hAnsi="Calibri" w:eastAsia="681E2cc2Arial" w:cs="Calibri"/>
          <w:color w:val="000000"/>
        </w:rPr>
      </w:pPr>
      <w:r>
        <w:rPr>
          <w:rFonts w:eastAsia="681E2cc2Arial" w:cs="Calibri" w:ascii="Calibri" w:hAnsi="Calibri"/>
          <w:color w:val="000000"/>
        </w:rPr>
        <w:t>terapii pedagogicznej,</w:t>
      </w:r>
    </w:p>
    <w:p>
      <w:pPr>
        <w:pStyle w:val="Normal"/>
        <w:numPr>
          <w:ilvl w:val="0"/>
          <w:numId w:val="7"/>
        </w:numPr>
        <w:spacing w:lineRule="auto" w:line="360"/>
        <w:rPr>
          <w:rFonts w:ascii="Calibri" w:hAnsi="Calibri" w:eastAsia="Liberation Serif" w:cs="Calibri"/>
          <w:color w:val="000000"/>
        </w:rPr>
      </w:pPr>
      <w:r>
        <w:rPr>
          <w:rFonts w:eastAsia="Liberation Serif" w:cs="Calibri" w:ascii="Calibri" w:hAnsi="Calibri"/>
          <w:color w:val="000000"/>
        </w:rPr>
        <w:t>terapii ręki,</w:t>
      </w:r>
    </w:p>
    <w:p>
      <w:pPr>
        <w:pStyle w:val="Normal"/>
        <w:numPr>
          <w:ilvl w:val="0"/>
          <w:numId w:val="7"/>
        </w:numPr>
        <w:spacing w:lineRule="auto" w:line="360"/>
        <w:rPr>
          <w:rFonts w:ascii="Calibri" w:hAnsi="Calibri" w:eastAsia="Liberation Serif" w:cs="Calibri"/>
          <w:color w:val="000000"/>
        </w:rPr>
      </w:pPr>
      <w:r>
        <w:rPr>
          <w:rFonts w:eastAsia="Liberation Serif" w:cs="Calibri" w:ascii="Calibri" w:hAnsi="Calibri"/>
          <w:color w:val="000000"/>
        </w:rPr>
        <w:t>psychologii,</w:t>
      </w:r>
    </w:p>
    <w:p>
      <w:pPr>
        <w:pStyle w:val="Normal"/>
        <w:numPr>
          <w:ilvl w:val="0"/>
          <w:numId w:val="7"/>
        </w:numPr>
        <w:spacing w:lineRule="auto" w:line="360"/>
        <w:rPr/>
      </w:pPr>
      <w:r>
        <w:rPr>
          <w:rStyle w:val="Domylnaczcionkaakapitu"/>
          <w:rFonts w:eastAsia="Liberation Serif" w:cs="Calibri" w:ascii="Calibri" w:hAnsi="Calibri"/>
          <w:color w:val="000000"/>
        </w:rPr>
        <w:t>zajęć w wodzie.</w:t>
      </w:r>
    </w:p>
    <w:p>
      <w:pPr>
        <w:pStyle w:val="Normal"/>
        <w:autoSpaceDE w:val="false"/>
        <w:spacing w:lineRule="auto" w:line="360"/>
        <w:jc w:val="both"/>
        <w:rPr>
          <w:rFonts w:ascii="Calibri" w:hAnsi="Calibri" w:eastAsia="TimesNewRomanPS-BoldMT" w:cs="TimesNewRomanPS-BoldMT"/>
          <w:b/>
          <w:bCs/>
        </w:rPr>
      </w:pPr>
      <w:r>
        <w:rPr>
          <w:rFonts w:eastAsia="TimesNewRomanPS-BoldMT" w:cs="TimesNewRomanPS-BoldMT" w:ascii="Calibri" w:hAnsi="Calibri"/>
          <w:b/>
          <w:bCs/>
        </w:rPr>
        <w:br/>
        <w:t>Odpłatność za pobyt w domu pomocy społecznej</w:t>
      </w:r>
    </w:p>
    <w:p>
      <w:pPr>
        <w:pStyle w:val="Normal"/>
        <w:autoSpaceDE w:val="false"/>
        <w:spacing w:lineRule="auto" w:line="360"/>
        <w:ind w:firstLine="709"/>
        <w:jc w:val="both"/>
        <w:rPr/>
      </w:pPr>
      <w:r>
        <w:rPr>
          <w:rStyle w:val="Domylnaczcionkaakapitu"/>
          <w:rFonts w:eastAsia="TimesNewRomanPSMT;'Times New R" w:cs="TimesNewRomanPSMT;'Times New R" w:ascii="Calibri" w:hAnsi="Calibri"/>
        </w:rPr>
        <w:t>Kolejnym zadaniem wynikającym z ustawy o pomocy społecznej realizowanym przez ośrodek pomocy społecznej jest wydawanie decyzji</w:t>
      </w:r>
      <w:r>
        <w:rPr>
          <w:rStyle w:val="Domylnaczcionkaakapitu"/>
          <w:rFonts w:ascii="Calibri" w:hAnsi="Calibri"/>
          <w:b/>
        </w:rPr>
        <w:t xml:space="preserve"> </w:t>
      </w:r>
      <w:r>
        <w:rPr>
          <w:rStyle w:val="Domylnaczcionkaakapitu"/>
          <w:rFonts w:ascii="Calibri" w:hAnsi="Calibri"/>
        </w:rPr>
        <w:t>o skierowaniu do domu pomocy społecznej</w:t>
        <w:br/>
        <w:t>i decyzji ustalającej opłatę za pobyt w domu pomocy społecznej.</w:t>
      </w:r>
    </w:p>
    <w:p>
      <w:pPr>
        <w:pStyle w:val="BodyText"/>
        <w:spacing w:lineRule="auto" w:line="360"/>
        <w:ind w:firstLine="709"/>
        <w:jc w:val="both"/>
        <w:rPr/>
      </w:pPr>
      <w:r>
        <w:rPr>
          <w:rStyle w:val="Domylnaczcionkaakapitu"/>
          <w:rFonts w:ascii="Calibri" w:hAnsi="Calibri"/>
        </w:rPr>
        <w:t xml:space="preserve">Podstawą do podjęcia decyzji jest wizyta pracownika socjalnego i przeprowadzenie rodzinnego wywiadu środowiskowego w miejscu zamieszkania klienta, </w:t>
      </w:r>
      <w:r>
        <w:rPr>
          <w:rStyle w:val="Domylnaczcionkaakapitu"/>
          <w:rFonts w:eastAsia="TimesNewRomanPSMT;'Times New R" w:cs="TimesNewRomanPSMT;'Times New R" w:ascii="Calibri" w:hAnsi="Calibri"/>
        </w:rPr>
        <w:t xml:space="preserve">kompletowanie dokumentów w celu przyznania miejsca w domu pomocy społecznej osobom wymagającym całodobowej opieki, której Ośrodek w ramach usług opiekuńczych, ani rodzina nie są w stanie zapewnić. </w:t>
        <w:br/>
      </w:r>
      <w:r>
        <w:rPr>
          <w:rStyle w:val="Domylnaczcionkaakapitu"/>
          <w:rFonts w:eastAsia="681E2cc2Arial" w:cs="681E2cc2Arial" w:ascii="Calibri" w:hAnsi="Calibri"/>
        </w:rPr>
        <w:t xml:space="preserve">Od dnia 1 lutego 2025 r. średni, miesięczny koszt utrzymania mieszkańca w domach pomocy </w:t>
      </w:r>
      <w:r>
        <w:rPr>
          <w:rStyle w:val="Domylnaczcionkaakapitu"/>
          <w:rFonts w:eastAsia="681E2cc2Arial" w:cs="Calibri" w:ascii="Calibri" w:hAnsi="Calibri"/>
        </w:rPr>
        <w:t>społecznej prowadzonych przez Powiat Tomaszowski w roku 2025 wynosił:</w:t>
      </w:r>
    </w:p>
    <w:p>
      <w:pPr>
        <w:pStyle w:val="BodyText"/>
        <w:spacing w:lineRule="auto" w:line="360"/>
        <w:jc w:val="both"/>
        <w:rPr/>
      </w:pPr>
      <w:r>
        <w:rPr>
          <w:rStyle w:val="Domylnaczcionkaakapitu"/>
          <w:rFonts w:eastAsia="681E2cc2Arial" w:cs="Calibri" w:ascii="Calibri" w:hAnsi="Calibri"/>
        </w:rPr>
        <w:t xml:space="preserve">- Dom Pomocy Społecznej Nr 1, ul. Polna, Filia ul. Farbiarska – </w:t>
      </w:r>
      <w:r>
        <w:rPr>
          <w:rStyle w:val="Domylnaczcionkaakapitu"/>
          <w:rFonts w:eastAsia="681E2cc2Arial" w:cs="Calibri" w:ascii="Calibri" w:hAnsi="Calibri"/>
          <w:b/>
          <w:bCs/>
        </w:rPr>
        <w:t>6 416,54 zł miesięcznie.</w:t>
      </w:r>
    </w:p>
    <w:p>
      <w:pPr>
        <w:pStyle w:val="BodyText"/>
        <w:spacing w:lineRule="auto" w:line="360"/>
        <w:jc w:val="both"/>
        <w:rPr/>
      </w:pPr>
      <w:r>
        <w:rPr>
          <w:rStyle w:val="Domylnaczcionkaakapitu"/>
          <w:rFonts w:eastAsia="681E2cc2Arial" w:cs="Calibri" w:ascii="Calibri" w:hAnsi="Calibri"/>
        </w:rPr>
        <w:t>- Dom Pomocy Społecznej Nr 2, ul. Jana Pawła II  –</w:t>
      </w:r>
      <w:r>
        <w:rPr>
          <w:rStyle w:val="Domylnaczcionkaakapitu"/>
          <w:rFonts w:eastAsia="681E2cc2Arial" w:cs="Calibri" w:ascii="Calibri" w:hAnsi="Calibri"/>
          <w:b/>
          <w:bCs/>
        </w:rPr>
        <w:t xml:space="preserve"> 6 170,76 zł miesięcznie.</w:t>
      </w:r>
      <w:r>
        <w:br w:type="page"/>
      </w:r>
    </w:p>
    <w:p>
      <w:pPr>
        <w:pStyle w:val="BodyText"/>
        <w:spacing w:lineRule="auto" w:line="360"/>
        <w:jc w:val="both"/>
        <w:rPr/>
      </w:pPr>
      <w:r>
        <w:rPr>
          <w:rStyle w:val="Domylnaczcionkaakapitu"/>
          <w:rFonts w:eastAsia="TimesNewRomanPSMT;'Times New R" w:cs="TimesNewRomanPSMT;'Times New R" w:ascii="Calibri" w:hAnsi="Calibri"/>
          <w:b/>
          <w:bCs/>
        </w:rPr>
        <w:t>Usługi wsparcia krótkoterminowego</w:t>
      </w:r>
    </w:p>
    <w:p>
      <w:pPr>
        <w:pStyle w:val="BodyText"/>
        <w:spacing w:lineRule="auto" w:line="360"/>
        <w:ind w:firstLine="709"/>
        <w:jc w:val="both"/>
        <w:rPr>
          <w:rFonts w:ascii="Calibri" w:hAnsi="Calibri" w:eastAsia="TimesNewRomanPSMT;'Times New R" w:cs="TimesNewRomanPSMT;'Times New R"/>
        </w:rPr>
      </w:pPr>
      <w:r>
        <w:rPr>
          <w:rFonts w:eastAsia="TimesNewRomanPSMT;'Times New R" w:cs="TimesNewRomanPSMT;'Times New R" w:ascii="Calibri" w:hAnsi="Calibri"/>
        </w:rPr>
        <w:t xml:space="preserve">Kolejnym zadaniem Miejskiego Ośrodka Pomocy Społecznej jest wydawanie decyzji przyznających prawo do skorzystania z usług wsparcia krótkoterminowego w formie pobytu całodobowego w Domu Pomocy Społecznej Nr 2 w Tomaszowie Mazowieckim ul. Jana Pawła II 37. </w:t>
      </w:r>
    </w:p>
    <w:p>
      <w:pPr>
        <w:pStyle w:val="BodyText"/>
        <w:spacing w:lineRule="auto" w:line="360"/>
        <w:ind w:firstLine="709"/>
        <w:jc w:val="both"/>
        <w:rPr>
          <w:rFonts w:ascii="Calibri" w:hAnsi="Calibri" w:eastAsia="TimesNewRomanPSMT;'Times New R" w:cs="TimesNewRomanPSMT;'Times New R"/>
        </w:rPr>
      </w:pPr>
      <w:r>
        <w:rPr>
          <w:rFonts w:eastAsia="TimesNewRomanPSMT;'Times New R" w:cs="TimesNewRomanPSMT;'Times New R" w:ascii="Calibri" w:hAnsi="Calibri"/>
        </w:rPr>
        <w:t xml:space="preserve">Na podstawie art. 55 a ustawy o pomocy społecznej, usługi wsparcia krótkoterminowego mogą być przyznane osobie, która ze względu na wiek, chorobę lub niepełnosprawność wymaga doraźnej pomocy w formie pobytu całodobowego lub w formie dziennej, ze względu na czasowe ograniczenie możliwości zapewnienia właściwego wsparcia w miejscu zamieszkania przez osoby na co dzień sprawujące opiekę nad tą osobą. Rodzaj i zakres usług wsparcia krótkoterminowego są uzależnione od sytuacji osoby wymagającej wsparcia oraz jej indywidualnych potrzeb. Usługi wsparcia krótkoterminowego realizowane w formie pobytu całodobowego są adekwatne do zakresu usług realizowanych przez dom pomocy społecznej na rzecz jego mieszkańców, z uwzględnieniem indywidualnych potrzeb osób korzystających z tej formy wsparcia.  </w:t>
      </w:r>
    </w:p>
    <w:p>
      <w:pPr>
        <w:pStyle w:val="BodyText"/>
        <w:spacing w:lineRule="auto" w:line="360"/>
        <w:ind w:firstLine="709"/>
        <w:jc w:val="both"/>
        <w:rPr/>
      </w:pPr>
      <w:r>
        <w:rPr>
          <w:rStyle w:val="Domylnaczcionkaakapitu"/>
          <w:rFonts w:eastAsia="TimesNewRomanPSMT;'Times New R" w:cs="TimesNewRomanPSMT;'Times New R" w:ascii="Calibri" w:hAnsi="Calibri"/>
        </w:rPr>
        <w:t xml:space="preserve">Zgodnie z art. 55 b ust. 1 w/w ustawy wskazano, że usługi wsparcia krótkoterminowego realizowane w formie pobytu całodobowego mogą być przyznane na czas określony nie dłuższy niż 30 dni w roku kalendarzowym, z możliwością przedłużenia pobytu w szczególnie uzasadnionych przypadkach o nie więcej niż kolejne 30 dni w roku kalendarzowym.  </w:t>
      </w:r>
      <w:r>
        <w:rPr>
          <w:rStyle w:val="Strong"/>
          <w:rFonts w:ascii="Calibri" w:hAnsi="Calibri"/>
          <w:b w:val="false"/>
          <w:bCs w:val="false"/>
        </w:rPr>
        <w:t>Opłata za jeden dzień pobytu</w:t>
      </w:r>
      <w:r>
        <w:rPr>
          <w:rStyle w:val="Domylnaczcionkaakapitu"/>
          <w:rFonts w:ascii="Calibri" w:hAnsi="Calibri"/>
        </w:rPr>
        <w:t xml:space="preserve"> w w/w placówce w ramach wsparcia krótkoterminowego wynosi: </w:t>
      </w:r>
      <w:r>
        <w:rPr>
          <w:rStyle w:val="Strong"/>
          <w:rFonts w:ascii="Calibri" w:hAnsi="Calibri"/>
          <w:b w:val="false"/>
          <w:bCs w:val="false"/>
        </w:rPr>
        <w:t xml:space="preserve">202,00 zł, za dzień pobytu zgodnie z </w:t>
      </w:r>
      <w:r>
        <w:rPr>
          <w:rStyle w:val="Domylnaczcionkaakapitu"/>
          <w:rFonts w:eastAsia="TimesNewRomanPSMT;'Times New R" w:cs="TimesNewRomanPSMT;'Times New R" w:ascii="Calibri" w:hAnsi="Calibri"/>
        </w:rPr>
        <w:t xml:space="preserve">Uchwałą Nr IV/42/2024 Rady Powiatu w Tomaszowie Mazowieckim z dnia 26 czerwca 2024 r. </w:t>
        <w:br/>
        <w:t xml:space="preserve">w sprawie ustalenia opłaty za świadczenie usług wsparcia krótkoterminowego (Dz. Urzędowy Woj. Łódzkiego z 17 lipca 2024 r. poz. 5578), art.104, 108 ustawy z dnia 14 czerwca 1960 r. Kodeksu postępowania administracyjnego (Dz.U. z 2024r. Poz. 572) oraz zgodnie z Uchwałą Nr XIII/101/2025 Rady Miejskiej Tomaszowa Mazowieckiego z dnia 29 stycznia 2025 r. w sprawie określenia szczegółowych warunków przyznania usług wsparcia krótkoterminowego świadczonego w formie dziennej i w formie pobytu całodobowego, warunków odpłatności za te usługi oraz szczegółowych warunków częściowego lub całkowitego zwolnienia od opłat, jak również trybu ich pobierania (Dz.U. z 2025 r. poz. 1855). </w:t>
      </w:r>
    </w:p>
    <w:p>
      <w:pPr>
        <w:pStyle w:val="BodyText"/>
        <w:spacing w:lineRule="auto" w:line="360"/>
        <w:ind w:firstLine="709"/>
        <w:jc w:val="both"/>
        <w:rPr/>
      </w:pPr>
      <w:r>
        <w:rPr>
          <w:rStyle w:val="Domylnaczcionkaakapitu"/>
          <w:rFonts w:ascii="Calibri" w:hAnsi="Calibri"/>
        </w:rPr>
        <w:t xml:space="preserve">W 2025 roku Sekcja Świadczeń Pomocy Społecznej Działu Pomocy Społecznej na podstawie decyzji administracyjnej przyznała prawo do usług wsparcia krótkoterminowego 19 osobom </w:t>
      </w:r>
      <w:r>
        <w:rPr>
          <w:rStyle w:val="Domylnaczcionkaakapitu"/>
          <w:rFonts w:eastAsia="TimesNewRomanPSMT;'Times New R" w:cs="TimesNewRomanPSMT;'Times New R" w:ascii="Calibri" w:hAnsi="Calibri"/>
        </w:rPr>
        <w:t>na łączną kwotę 73 124,00 zł.</w:t>
      </w:r>
      <w:r>
        <w:br w:type="page"/>
      </w:r>
    </w:p>
    <w:p>
      <w:pPr>
        <w:pStyle w:val="Normal"/>
        <w:autoSpaceDE w:val="false"/>
        <w:spacing w:lineRule="auto" w:line="360"/>
        <w:jc w:val="both"/>
        <w:rPr/>
      </w:pPr>
      <w:r>
        <w:rPr>
          <w:rStyle w:val="Domylnaczcionkaakapitu"/>
          <w:rFonts w:ascii="Calibri" w:hAnsi="Calibri"/>
          <w:b/>
          <w:bCs/>
        </w:rPr>
        <w:t>Wynagrodzenie dla opiekuna prawnego</w:t>
      </w:r>
    </w:p>
    <w:p>
      <w:pPr>
        <w:pStyle w:val="BodyText"/>
        <w:autoSpaceDE w:val="false"/>
        <w:spacing w:lineRule="auto" w:line="360" w:before="0" w:after="0"/>
        <w:jc w:val="both"/>
        <w:rPr>
          <w:rFonts w:ascii="Calibri" w:hAnsi="Calibri" w:eastAsia="TimesNewRomanPSMT;'Times New R" w:cs="TimesNewRomanPSMT;'Times New R"/>
        </w:rPr>
      </w:pPr>
      <w:r>
        <w:rPr>
          <w:rFonts w:eastAsia="TimesNewRomanPSMT;'Times New R" w:cs="TimesNewRomanPSMT;'Times New R" w:ascii="Calibri" w:hAnsi="Calibri"/>
        </w:rPr>
        <w:tab/>
        <w:t>Zgodnie z art. 53 a ustawy z dnia 12 marca 2004 r. o pomocy społecznej – na Ośrodkach Pomocy Społecznej spoczywa obowiązek wypłacania wynagrodzenia należnego opiekunowi z tytułu sprawowania opieki przyznanego przez sąd.</w:t>
      </w:r>
    </w:p>
    <w:p>
      <w:pPr>
        <w:pStyle w:val="BodyText"/>
        <w:spacing w:lineRule="auto" w:line="360" w:before="0" w:after="0"/>
        <w:jc w:val="both"/>
        <w:rPr>
          <w:rFonts w:ascii="Calibri" w:hAnsi="Calibri"/>
          <w:b/>
          <w:bCs/>
        </w:rPr>
      </w:pPr>
      <w:r>
        <w:rPr>
          <w:rFonts w:ascii="Calibri" w:hAnsi="Calibri"/>
          <w:b/>
          <w:bCs/>
        </w:rPr>
      </w:r>
    </w:p>
    <w:p>
      <w:pPr>
        <w:pStyle w:val="BodyText"/>
        <w:spacing w:lineRule="auto" w:line="360" w:before="0" w:after="0"/>
        <w:jc w:val="both"/>
        <w:rPr>
          <w:rFonts w:ascii="Calibri" w:hAnsi="Calibri"/>
          <w:b/>
          <w:bCs/>
        </w:rPr>
      </w:pPr>
      <w:r>
        <w:rPr>
          <w:rFonts w:ascii="Calibri" w:hAnsi="Calibri"/>
          <w:b/>
          <w:bCs/>
        </w:rPr>
        <w:t>Piecza zastępcza</w:t>
        <w:tab/>
      </w:r>
    </w:p>
    <w:p>
      <w:pPr>
        <w:pStyle w:val="BodyText"/>
        <w:spacing w:lineRule="auto" w:line="360" w:before="0" w:after="0"/>
        <w:jc w:val="both"/>
        <w:rPr>
          <w:rFonts w:ascii="Calibri" w:hAnsi="Calibri"/>
        </w:rPr>
      </w:pPr>
      <w:r>
        <w:rPr>
          <w:rFonts w:ascii="Calibri" w:hAnsi="Calibri"/>
        </w:rPr>
        <w:tab/>
        <w:t xml:space="preserve">Z dniem 1 stycznia 2012 roku, tj. z dniem wejścia w życie ustawy o wspieraniu rodziny </w:t>
        <w:br/>
        <w:t>i systemie pieczy zastępczej – t. j. Dz. U. z 2025 r. poz. 49 z późn. zm. – gmina właściwa ze względu na miejsce zamieszkania dziecka przed umieszczeniem go po raz pierwszy w pieczy zastępczej jest zobowiązana do ponoszenia wydatków na opiekę i wychowanie, odpowiednio do czasookresu pobytu dziecka w pieczy zastępczej (zgodnie z art.191 w/w ustawy):</w:t>
      </w:r>
    </w:p>
    <w:p>
      <w:pPr>
        <w:pStyle w:val="BodyText"/>
        <w:spacing w:lineRule="auto" w:line="360" w:before="0" w:after="0"/>
        <w:jc w:val="both"/>
        <w:rPr>
          <w:rFonts w:ascii="Calibri" w:hAnsi="Calibri"/>
        </w:rPr>
      </w:pPr>
      <w:r>
        <w:rPr>
          <w:rFonts w:ascii="Calibri" w:hAnsi="Calibri"/>
        </w:rPr>
        <w:t>-  10% wydatków na opiekę i wychowanie dziecka — w pierwszym roku pobytu dziecka w pieczy zastępczej;</w:t>
      </w:r>
    </w:p>
    <w:p>
      <w:pPr>
        <w:pStyle w:val="BodyText"/>
        <w:spacing w:lineRule="auto" w:line="360" w:before="0" w:after="0"/>
        <w:jc w:val="both"/>
        <w:rPr>
          <w:rFonts w:ascii="Calibri" w:hAnsi="Calibri"/>
        </w:rPr>
      </w:pPr>
      <w:r>
        <w:rPr>
          <w:rFonts w:ascii="Calibri" w:hAnsi="Calibri"/>
        </w:rPr>
        <w:t>-  30% wydatków na opiekę i wychowanie dziecka — w drugim roku pobytu dziecka w pieczy zastępczej;</w:t>
      </w:r>
    </w:p>
    <w:p>
      <w:pPr>
        <w:pStyle w:val="BodyText"/>
        <w:spacing w:lineRule="auto" w:line="360" w:before="0" w:after="0"/>
        <w:jc w:val="both"/>
        <w:rPr>
          <w:rFonts w:ascii="Calibri" w:hAnsi="Calibri"/>
        </w:rPr>
      </w:pPr>
      <w:r>
        <w:rPr>
          <w:rFonts w:ascii="Calibri" w:hAnsi="Calibri"/>
        </w:rPr>
        <w:t>-  50% wydatków na opiekę i wychowanie dziecka — w trzecim roku i następnych latach pobytu dziecka w pieczy zastępczej.</w:t>
      </w:r>
    </w:p>
    <w:p>
      <w:pPr>
        <w:pStyle w:val="Normal"/>
        <w:autoSpaceDE w:val="false"/>
        <w:spacing w:lineRule="auto" w:line="360"/>
        <w:jc w:val="both"/>
        <w:rPr>
          <w:rFonts w:ascii="Calibri" w:hAnsi="Calibri" w:eastAsia="TimesNewRomanPS-BoldMT" w:cs="TimesNewRomanPS-BoldMT"/>
          <w:b/>
          <w:bCs/>
        </w:rPr>
      </w:pPr>
      <w:r>
        <w:rPr>
          <w:rFonts w:eastAsia="TimesNewRomanPS-BoldMT" w:cs="TimesNewRomanPS-BoldMT" w:ascii="Calibri" w:hAnsi="Calibri"/>
          <w:b/>
          <w:bCs/>
        </w:rPr>
      </w:r>
    </w:p>
    <w:p>
      <w:pPr>
        <w:pStyle w:val="Normal"/>
        <w:autoSpaceDE w:val="false"/>
        <w:spacing w:lineRule="auto" w:line="360"/>
        <w:jc w:val="both"/>
        <w:rPr>
          <w:rFonts w:ascii="Calibri" w:hAnsi="Calibri" w:eastAsia="TimesNewRomanPS-BoldMT" w:cs="TimesNewRomanPS-BoldMT"/>
          <w:b/>
          <w:bCs/>
        </w:rPr>
      </w:pPr>
      <w:r>
        <w:rPr>
          <w:rFonts w:eastAsia="TimesNewRomanPS-BoldMT" w:cs="TimesNewRomanPS-BoldMT" w:ascii="Calibri" w:hAnsi="Calibri"/>
          <w:b/>
          <w:bCs/>
        </w:rPr>
        <w:t>Sprawowanie pogrzebu</w:t>
      </w:r>
    </w:p>
    <w:p>
      <w:pPr>
        <w:pStyle w:val="Normal"/>
        <w:spacing w:lineRule="auto" w:line="360"/>
        <w:jc w:val="both"/>
        <w:rPr>
          <w:rFonts w:ascii="Calibri" w:hAnsi="Calibri"/>
        </w:rPr>
      </w:pPr>
      <w:r>
        <w:rPr>
          <w:rFonts w:ascii="Calibri" w:hAnsi="Calibri"/>
        </w:rPr>
        <w:tab/>
        <w:t>Zgodnie z art. 17 ust. 1 pkt. 15, art. 44  ustawy z dnia 12 marca 2004 r. o pomocy społecznej sprawienie pogrzebu, w tym osobom bezdomnym, należy do obowiązkowych zadań własnych gminy.</w:t>
      </w:r>
    </w:p>
    <w:p>
      <w:pPr>
        <w:pStyle w:val="BodyText"/>
        <w:spacing w:lineRule="auto" w:line="360" w:before="0" w:after="0"/>
        <w:jc w:val="both"/>
        <w:rPr>
          <w:rFonts w:ascii="Calibri" w:hAnsi="Calibri"/>
        </w:rPr>
      </w:pPr>
      <w:r>
        <w:rPr>
          <w:rFonts w:ascii="Calibri" w:hAnsi="Calibri"/>
        </w:rPr>
        <w:tab/>
        <w:t>Jest to świadczenie niepieniężne dla osób, które nie posiadają świadczeń emerytalno-rentowych oraz osób zobowiązanych do pokrycia kosztów pogrzebu, które nie są w stanie tego zrobić samodzielnie.</w:t>
      </w:r>
    </w:p>
    <w:p>
      <w:pPr>
        <w:pStyle w:val="Normal"/>
        <w:spacing w:lineRule="auto" w:line="360"/>
        <w:jc w:val="both"/>
        <w:rPr>
          <w:rFonts w:ascii="Calibri" w:hAnsi="Calibri"/>
        </w:rPr>
      </w:pPr>
      <w:r>
        <w:rPr>
          <w:rFonts w:ascii="Calibri" w:hAnsi="Calibri"/>
        </w:rPr>
        <w:t>Sprawienie pogrzebu odbywa się w sposób ustalony przez gminę, zgodnie z wyznaniem zmarłego.</w:t>
      </w:r>
    </w:p>
    <w:p>
      <w:pPr>
        <w:pStyle w:val="BodyText"/>
        <w:spacing w:lineRule="auto" w:line="360" w:before="0" w:after="0"/>
        <w:jc w:val="both"/>
        <w:rPr>
          <w:rFonts w:ascii="Calibri" w:hAnsi="Calibri"/>
        </w:rPr>
      </w:pPr>
      <w:r>
        <w:rPr>
          <w:rFonts w:ascii="Calibri" w:hAnsi="Calibri"/>
        </w:rPr>
        <w:tab/>
        <w:t>Miejski Ośrodek Pomocy Społecznej w Tomaszowie Mazowieckim organizuje pogrzeby osób zmarłych na terenie Miasta Tomaszowa Mazowieckiego, nieposiadających osób bliskich oraz gdy osoby te lub inne dobrowolnie nie zobowiązały się do organizacji pogrzebu.</w:t>
      </w:r>
    </w:p>
    <w:p>
      <w:pPr>
        <w:pStyle w:val="Normal"/>
        <w:spacing w:lineRule="auto" w:line="360"/>
        <w:jc w:val="both"/>
        <w:rPr/>
      </w:pPr>
      <w:r>
        <w:rPr>
          <w:rStyle w:val="Domylnaczcionkaakapitu"/>
          <w:rFonts w:ascii="Calibri" w:hAnsi="Calibri"/>
        </w:rPr>
        <w:tab/>
        <w:t xml:space="preserve">W okresie od stycznia do grudnia 2025 r. usługę tą świadczyła Anna Gajek, Z.U.P. STYKS, </w:t>
      </w:r>
      <w:r>
        <w:rPr>
          <w:rStyle w:val="Domylnaczcionkaakapitu"/>
          <w:rFonts w:eastAsia="Lucida Sans Unicode" w:cs="Tahoma" w:ascii="Calibri" w:hAnsi="Calibri"/>
        </w:rPr>
        <w:t xml:space="preserve">Dom Pogrzebowy </w:t>
      </w:r>
      <w:r>
        <w:rPr>
          <w:rStyle w:val="Domylnaczcionkaakapitu"/>
          <w:rFonts w:ascii="Calibri" w:hAnsi="Calibri"/>
        </w:rPr>
        <w:t xml:space="preserve">„Hades” </w:t>
      </w:r>
      <w:r>
        <w:rPr>
          <w:rStyle w:val="Domylnaczcionkaakapitu"/>
          <w:rFonts w:eastAsia="Lucida Sans Unicode" w:cs="Tahoma" w:ascii="Calibri" w:hAnsi="Calibri"/>
        </w:rPr>
        <w:t>ul. B. Joselewicza 16, 97-200 Tomaszów Mazowiecki, ul. Dąbrowska 71/81.</w:t>
      </w:r>
    </w:p>
    <w:p>
      <w:pPr>
        <w:pStyle w:val="Normal"/>
        <w:autoSpaceDE w:val="false"/>
        <w:spacing w:lineRule="auto" w:line="360"/>
        <w:jc w:val="both"/>
        <w:rPr>
          <w:rFonts w:ascii="Calibri" w:hAnsi="Calibri" w:eastAsia="Lucida Sans Unicode" w:cs="Tahoma"/>
        </w:rPr>
      </w:pPr>
      <w:r>
        <w:rPr>
          <w:rFonts w:eastAsia="Lucida Sans Unicode" w:cs="Tahoma" w:ascii="Calibri" w:hAnsi="Calibri"/>
        </w:rPr>
        <w:t xml:space="preserve">Koszt jednego pochówku wynosił 3 600,00 zł osoba dorosła; 1 800,00 zł dziecko do 13 roku życia;  </w:t>
        <w:br/>
        <w:t>1 000,00 zł noworodek.</w:t>
      </w:r>
    </w:p>
    <w:p>
      <w:pPr>
        <w:pStyle w:val="Normal"/>
        <w:autoSpaceDE w:val="false"/>
        <w:spacing w:lineRule="auto" w:line="360"/>
        <w:jc w:val="both"/>
        <w:rPr/>
      </w:pPr>
      <w:r>
        <w:rPr>
          <w:rStyle w:val="Domylnaczcionkaakapitu"/>
          <w:rFonts w:eastAsia="Times New Roman" w:cs="TimesNewRomanPS-BoldMT" w:ascii="Calibri" w:hAnsi="Calibri"/>
          <w:b/>
          <w:bCs/>
          <w:color w:val="000000"/>
        </w:rPr>
        <w:t>Wieloletni rządowy programu „Posiłek w szkole i w domu” na lata 2024 – 2028</w:t>
      </w:r>
      <w:r>
        <w:rPr>
          <w:rStyle w:val="Domylnaczcionkaakapitu"/>
          <w:rFonts w:eastAsia="TimesNewRomanPS-BoldMT" w:cs="TimesNewRomanPS-BoldMT" w:ascii="Calibri" w:hAnsi="Calibri"/>
        </w:rPr>
        <w:tab/>
      </w:r>
    </w:p>
    <w:p>
      <w:pPr>
        <w:pStyle w:val="Normal"/>
        <w:autoSpaceDE w:val="false"/>
        <w:spacing w:lineRule="auto" w:line="360"/>
        <w:jc w:val="both"/>
        <w:rPr/>
      </w:pPr>
      <w:r>
        <w:rPr>
          <w:rStyle w:val="Domylnaczcionkaakapitu"/>
          <w:rFonts w:eastAsia="TimesNewRomanPS-BoldMT" w:cs="TimesNewRomanPS-BoldMT" w:ascii="Calibri" w:hAnsi="Calibri"/>
        </w:rPr>
        <w:tab/>
        <w:t xml:space="preserve">W ramach zadań nałożonych na Ośrodek Pomocy Społecznej realizowano </w:t>
      </w:r>
      <w:r>
        <w:rPr>
          <w:rStyle w:val="Domylnaczcionkaakapitu"/>
          <w:rFonts w:eastAsia="Times New Roman" w:cs="TimesNewRomanPS-BoldMT" w:ascii="Calibri" w:hAnsi="Calibri"/>
          <w:color w:val="000000"/>
        </w:rPr>
        <w:t>wieloletni rządowy programu „Posiłek w szkole i w domu” na lata 2024 – 2028.</w:t>
      </w:r>
    </w:p>
    <w:p>
      <w:pPr>
        <w:pStyle w:val="Normal"/>
        <w:autoSpaceDE w:val="false"/>
        <w:spacing w:lineRule="auto" w:line="360"/>
        <w:jc w:val="both"/>
        <w:rPr/>
      </w:pPr>
      <w:r>
        <w:rPr>
          <w:rStyle w:val="Domylnaczcionkaakapitu"/>
          <w:rFonts w:eastAsia="Times New Roman" w:cs="TimesNewRomanPS-BoldMT" w:ascii="Calibri" w:hAnsi="Calibri"/>
          <w:color w:val="000000"/>
        </w:rPr>
        <w:t>Realizacja P</w:t>
      </w:r>
      <w:r>
        <w:rPr>
          <w:rStyle w:val="Domylnaczcionkaakapitu"/>
          <w:rFonts w:eastAsia="Times New Roman" w:ascii="Calibri" w:hAnsi="Calibri"/>
          <w:color w:val="000000"/>
        </w:rPr>
        <w:t xml:space="preserve">rogramu „Posiłek w szkole i w domu” ma na celu zapewnienie pomocy zarówno osobom starszym, niepełnosprawnym, o niskich dochodach, jak i dzieciom, które wychowują się w rodzinach znajdujących się w trudnej sytuacji – posiłki przyznawane są zgodnie z </w:t>
      </w:r>
      <w:r>
        <w:rPr>
          <w:rStyle w:val="Domylnaczcionkaakapitu"/>
          <w:rFonts w:eastAsia="Times New Roman" w:cs="TimesNewRomanPS-BoldMT" w:ascii="Calibri" w:hAnsi="Calibri"/>
          <w:color w:val="000000"/>
        </w:rPr>
        <w:t xml:space="preserve">Uchwałą nr 149 Rady Ministrów z dnia 23 sierpnia 2023r. w sprawie ustanowienia wieloletniego rządowego programu "Posiłek w szkole i w domu" na lata 2024-2028 (M. P. z 2023r. poz.881) w związku z Uchwałą </w:t>
        <w:br/>
        <w:t xml:space="preserve">nr LXXXII/650/2023 Rady Miejskiej Tomaszowa Mazowieckiego z dnia 26 października 2023 r. </w:t>
        <w:br/>
        <w:t xml:space="preserve">w sprawie ustanowienia wieloletniego programu osłonowego w zakresie dożywiania "Posiłek </w:t>
        <w:br/>
        <w:t>w szkole i w domu" na lata 2024-2028.</w:t>
      </w:r>
    </w:p>
    <w:p>
      <w:pPr>
        <w:pStyle w:val="Normal"/>
        <w:spacing w:lineRule="auto" w:line="360"/>
        <w:jc w:val="both"/>
        <w:rPr/>
      </w:pPr>
      <w:r>
        <w:rPr>
          <w:rStyle w:val="Domylnaczcionkaakapitu"/>
          <w:rFonts w:ascii="Calibri" w:hAnsi="Calibri"/>
        </w:rPr>
        <w:tab/>
      </w:r>
      <w:r>
        <w:rPr>
          <w:rStyle w:val="Strong"/>
          <w:rFonts w:ascii="Calibri" w:hAnsi="Calibri"/>
          <w:b w:val="false"/>
          <w:bCs w:val="false"/>
        </w:rPr>
        <w:t>Ogółem w 2025 roku z Programu skorzystało 830 osób, w tym: 355 dzieci, 168 osób dorosłych, z czego 29 osobom dowieziono posiłek do miejsca zamieszkania oraz wypłacono 307 osobom świadczenie pieniężne w formie zasiłku celowego na zakup artykułów żywnościowych.</w:t>
      </w:r>
    </w:p>
    <w:p>
      <w:pPr>
        <w:pStyle w:val="Normal"/>
        <w:spacing w:lineRule="auto" w:line="360"/>
        <w:jc w:val="both"/>
        <w:rPr/>
      </w:pPr>
      <w:r>
        <w:rPr>
          <w:rStyle w:val="Strong"/>
          <w:rFonts w:ascii="Calibri" w:hAnsi="Calibri"/>
        </w:rPr>
        <w:tab/>
      </w:r>
      <w:r>
        <w:rPr>
          <w:rStyle w:val="Strong"/>
          <w:rFonts w:eastAsia="TimesNewRomanPS-BoldMT" w:cs="TimesNewRomanPS-BoldMT" w:ascii="Calibri" w:hAnsi="Calibri"/>
          <w:b w:val="false"/>
        </w:rPr>
        <w:t>Na terenie miasta w o</w:t>
      </w:r>
      <w:r>
        <w:rPr>
          <w:rStyle w:val="Strong"/>
          <w:rFonts w:eastAsia="TimesNewRomanPS-BoldMT" w:cs="TimesNewRomanPS-BoldMT" w:ascii="Calibri" w:hAnsi="Calibri"/>
          <w:b w:val="false"/>
          <w:color w:val="000000"/>
        </w:rPr>
        <w:t>kresie od 2 stycznia 2025 r. do 31 grudnia 2025 r</w:t>
      </w:r>
      <w:r>
        <w:rPr>
          <w:rStyle w:val="Strong"/>
          <w:rFonts w:eastAsia="TimesNewRomanPS-BoldMT" w:cs="TimesNewRomanPS-BoldMT" w:ascii="Calibri" w:hAnsi="Calibri"/>
          <w:color w:val="000000"/>
        </w:rPr>
        <w:t xml:space="preserve">. </w:t>
      </w:r>
      <w:r>
        <w:rPr>
          <w:rStyle w:val="Strong"/>
          <w:rFonts w:eastAsia="TimesNewRomanPS-BoldMT" w:cs="TimesNewRomanPS-BoldMT" w:ascii="Calibri" w:hAnsi="Calibri"/>
          <w:b w:val="false"/>
          <w:color w:val="000000"/>
        </w:rPr>
        <w:t>d</w:t>
      </w:r>
      <w:r>
        <w:rPr>
          <w:rStyle w:val="Strong"/>
          <w:rFonts w:eastAsia="TimesNewRomanPS-BoldMT" w:cs="TimesNewRomanPS-BoldMT" w:ascii="Calibri" w:hAnsi="Calibri"/>
          <w:b w:val="false"/>
        </w:rPr>
        <w:t xml:space="preserve">ziałały dwa punkty żywieniowe przy Pl. Kościuszki 14/15 oraz ul. Wschodniej 14 w Tomaszowie Mazowieckim, prowadzone przez „Deko Smaku” Cezary Dębiec </w:t>
      </w:r>
      <w:r>
        <w:rPr>
          <w:rStyle w:val="Strong"/>
          <w:rFonts w:eastAsia="Lucida Sans Unicode" w:cs="TimesNewRomanPS-BoldMT" w:ascii="Calibri" w:hAnsi="Calibri"/>
          <w:b w:val="false"/>
          <w:color w:val="000000"/>
          <w:spacing w:val="8"/>
        </w:rPr>
        <w:t xml:space="preserve">z siedzibą przy ul. św. Antoniego 2,                            w Tomaszowie Mazowieckim, </w:t>
      </w:r>
      <w:r>
        <w:rPr>
          <w:rStyle w:val="Strong"/>
          <w:rFonts w:eastAsia="TimesNewRomanPS-BoldMT" w:cs="TimesNewRomanPS-BoldMT" w:ascii="Calibri" w:hAnsi="Calibri"/>
          <w:b w:val="false"/>
        </w:rPr>
        <w:t>wyłonione wskutek rozstrzygniętego postępowania w trybie przetargu nieograniczonego.</w:t>
      </w:r>
    </w:p>
    <w:p>
      <w:pPr>
        <w:pStyle w:val="Normal"/>
        <w:spacing w:lineRule="auto" w:line="360"/>
        <w:jc w:val="both"/>
        <w:rPr/>
      </w:pPr>
      <w:r>
        <w:rPr>
          <w:rStyle w:val="Strong"/>
          <w:rFonts w:ascii="Calibri" w:hAnsi="Calibri"/>
          <w:b w:val="false"/>
          <w:color w:val="000000"/>
          <w:spacing w:val="8"/>
        </w:rPr>
        <w:tab/>
      </w:r>
      <w:r>
        <w:rPr>
          <w:rStyle w:val="Strong"/>
          <w:rFonts w:eastAsia="Lucida Sans Unicode" w:ascii="Calibri" w:hAnsi="Calibri"/>
          <w:b w:val="false"/>
          <w:color w:val="000000"/>
          <w:spacing w:val="8"/>
        </w:rPr>
        <w:t xml:space="preserve">Koszt jednego posiłku wydawanego w punkcie żywieniowym w okresie styczeń – marzec 2025r. wynosił </w:t>
      </w:r>
      <w:r>
        <w:rPr>
          <w:rStyle w:val="Strong"/>
          <w:rFonts w:eastAsia="Lucida Sans Unicode" w:ascii="Calibri" w:hAnsi="Calibri"/>
          <w:color w:val="000000"/>
          <w:spacing w:val="8"/>
        </w:rPr>
        <w:t xml:space="preserve">34,56 zł, </w:t>
      </w:r>
      <w:r>
        <w:rPr>
          <w:rStyle w:val="Strong"/>
          <w:rFonts w:eastAsia="Lucida Sans Unicode" w:ascii="Calibri" w:hAnsi="Calibri"/>
          <w:b w:val="false"/>
          <w:bCs w:val="false"/>
          <w:color w:val="000000"/>
          <w:spacing w:val="8"/>
        </w:rPr>
        <w:t>natomiast w okresie kwiecień – grzudzień 2025r. wynosił</w:t>
      </w:r>
      <w:r>
        <w:rPr>
          <w:rStyle w:val="Strong"/>
          <w:rFonts w:eastAsia="Lucida Sans Unicode" w:ascii="Calibri" w:hAnsi="Calibri"/>
          <w:color w:val="000000"/>
          <w:spacing w:val="8"/>
        </w:rPr>
        <w:t xml:space="preserve">  </w:t>
      </w:r>
    </w:p>
    <w:p>
      <w:pPr>
        <w:pStyle w:val="Normal"/>
        <w:spacing w:lineRule="auto" w:line="360"/>
        <w:jc w:val="both"/>
        <w:rPr/>
      </w:pPr>
      <w:r>
        <w:rPr>
          <w:rStyle w:val="Strong"/>
          <w:rFonts w:eastAsia="Lucida Sans Unicode" w:ascii="Calibri" w:hAnsi="Calibri"/>
          <w:color w:val="000000"/>
          <w:spacing w:val="8"/>
        </w:rPr>
        <w:t>33,47 zł.</w:t>
      </w:r>
    </w:p>
    <w:p>
      <w:pPr>
        <w:pStyle w:val="Normal"/>
        <w:spacing w:lineRule="auto" w:line="360"/>
        <w:jc w:val="both"/>
        <w:rPr/>
      </w:pPr>
      <w:r>
        <w:rPr>
          <w:rStyle w:val="Strong"/>
          <w:rFonts w:eastAsia="Lucida Sans Unicode" w:ascii="Calibri" w:hAnsi="Calibri"/>
          <w:b w:val="false"/>
          <w:color w:val="000000"/>
          <w:spacing w:val="8"/>
        </w:rPr>
        <w:t xml:space="preserve">Natomiast koszt jednego posiłku wraz z usługą dowozu w okresie styczeń – marzec 2025r. wynosił </w:t>
      </w:r>
      <w:r>
        <w:rPr>
          <w:rStyle w:val="Strong"/>
          <w:rFonts w:eastAsia="Lucida Sans Unicode" w:ascii="Calibri" w:hAnsi="Calibri"/>
          <w:color w:val="000000"/>
          <w:spacing w:val="8"/>
        </w:rPr>
        <w:t xml:space="preserve">37,80 zł, </w:t>
      </w:r>
      <w:r>
        <w:rPr>
          <w:rStyle w:val="Strong"/>
          <w:rFonts w:eastAsia="Lucida Sans Unicode" w:ascii="Calibri" w:hAnsi="Calibri"/>
          <w:b w:val="false"/>
          <w:bCs w:val="false"/>
          <w:color w:val="000000"/>
          <w:spacing w:val="8"/>
        </w:rPr>
        <w:t>natomiast w okresie kwiecień – grudzień 2025r. wynosił</w:t>
      </w:r>
      <w:r>
        <w:rPr>
          <w:rStyle w:val="Strong"/>
          <w:rFonts w:eastAsia="Lucida Sans Unicode" w:ascii="Calibri" w:hAnsi="Calibri"/>
          <w:color w:val="000000"/>
          <w:spacing w:val="8"/>
        </w:rPr>
        <w:t xml:space="preserve">  36,71 zł. </w:t>
        <w:tab/>
        <w:br/>
      </w:r>
    </w:p>
    <w:p>
      <w:pPr>
        <w:pStyle w:val="Normal"/>
        <w:autoSpaceDE w:val="false"/>
        <w:spacing w:lineRule="auto" w:line="360"/>
        <w:jc w:val="both"/>
        <w:rPr/>
      </w:pPr>
      <w:r>
        <w:rPr>
          <w:rStyle w:val="Domylnaczcionkaakapitu"/>
          <w:rFonts w:eastAsia="TimesNewRomanPS-BoldMT" w:cs="TimesNewRomanPS-BoldMT" w:ascii="Calibri" w:hAnsi="Calibri"/>
          <w:b/>
          <w:bCs/>
        </w:rPr>
        <w:tab/>
        <w:t>W 2025 roku Sekcja Świadczeń Pomocy Społecznej</w:t>
      </w:r>
      <w:r>
        <w:rPr>
          <w:rStyle w:val="Domylnaczcionkaakapitu"/>
          <w:rFonts w:eastAsia="TimesNewRomanPS-BoldMT" w:cs="TimesNewRomanPS-BoldMT" w:ascii="Calibri" w:hAnsi="Calibri"/>
        </w:rPr>
        <w:t xml:space="preserve"> wydała decyzje administracyjne przyznające świadczenia </w:t>
      </w:r>
      <w:r>
        <w:rPr>
          <w:rStyle w:val="Domylnaczcionkaakapitu"/>
          <w:rFonts w:eastAsia="TimesNewRomanPS-BoldMT" w:cs="TimesNewRomanPS-BoldMT" w:ascii="Calibri" w:hAnsi="Calibri"/>
          <w:b/>
          <w:bCs/>
        </w:rPr>
        <w:t xml:space="preserve">2 022 </w:t>
      </w:r>
      <w:r>
        <w:rPr>
          <w:rStyle w:val="Domylnaczcionkaakapitu"/>
          <w:rFonts w:eastAsia="TimesNewRomanPS-BoldMT" w:cs="TimesNewRomanPS-BoldMT" w:ascii="Calibri" w:hAnsi="Calibri"/>
        </w:rPr>
        <w:t>osobom.</w:t>
      </w:r>
    </w:p>
    <w:p>
      <w:pPr>
        <w:pStyle w:val="BodyText"/>
        <w:autoSpaceDE w:val="false"/>
        <w:rPr>
          <w:rFonts w:ascii="Calibri" w:hAnsi="Calibri" w:eastAsia="TimesNewRomanPSMT" w:cs="TimesNewRomanPSMT"/>
        </w:rPr>
      </w:pPr>
      <w:r>
        <w:rPr>
          <w:rFonts w:eastAsia="TimesNewRomanPSMT" w:cs="TimesNewRomanPSMT" w:ascii="Calibri" w:hAnsi="Calibri"/>
        </w:rPr>
      </w:r>
    </w:p>
    <w:p>
      <w:pPr>
        <w:pStyle w:val="Normal"/>
        <w:spacing w:lineRule="auto" w:line="360"/>
        <w:jc w:val="both"/>
        <w:rPr>
          <w:rFonts w:ascii="Calibri" w:hAnsi="Calibri" w:eastAsia="TimesNewRomanPS-BoldMT" w:cs="TimesNewRomanPS-BoldMT"/>
          <w:b/>
          <w:bCs/>
        </w:rPr>
      </w:pPr>
      <w:r>
        <w:rPr>
          <w:rFonts w:eastAsia="TimesNewRomanPS-BoldMT" w:cs="TimesNewRomanPS-BoldMT" w:ascii="Calibri" w:hAnsi="Calibri"/>
          <w:b/>
          <w:bCs/>
        </w:rPr>
      </w:r>
      <w:r>
        <w:br w:type="page"/>
      </w:r>
    </w:p>
    <w:p>
      <w:pPr>
        <w:pStyle w:val="Normal"/>
        <w:spacing w:lineRule="auto" w:line="360"/>
        <w:jc w:val="both"/>
        <w:rPr>
          <w:rFonts w:ascii="Calibri" w:hAnsi="Calibri" w:eastAsia="TimesNewRomanPS-BoldMT" w:cs="TimesNewRomanPS-BoldMT"/>
          <w:b/>
          <w:bCs/>
        </w:rPr>
      </w:pPr>
      <w:r>
        <w:rPr>
          <w:rFonts w:eastAsia="TimesNewRomanPS-BoldMT" w:cs="TimesNewRomanPS-BoldMT" w:ascii="Calibri" w:hAnsi="Calibri"/>
          <w:b/>
          <w:bCs/>
        </w:rPr>
        <w:t>Zestawienie świadczeń za rok 2025:</w:t>
      </w:r>
    </w:p>
    <w:p>
      <w:pPr>
        <w:pStyle w:val="Normal"/>
        <w:spacing w:lineRule="auto" w:line="360"/>
        <w:jc w:val="both"/>
        <w:rPr>
          <w:rFonts w:ascii="Calibri" w:hAnsi="Calibri" w:eastAsia="TimesNewRomanPS-BoldMT" w:cs="TimesNewRomanPS-BoldMT"/>
          <w:b/>
          <w:bCs/>
        </w:rPr>
      </w:pPr>
      <w:r>
        <w:rPr>
          <w:rFonts w:eastAsia="TimesNewRomanPS-BoldMT" w:cs="TimesNewRomanPS-BoldMT" w:ascii="Calibri" w:hAnsi="Calibri"/>
          <w:b/>
          <w:bCs/>
        </w:rPr>
      </w:r>
    </w:p>
    <w:tbl>
      <w:tblPr>
        <w:tblW w:w="9185" w:type="dxa"/>
        <w:jc w:val="start"/>
        <w:tblInd w:w="282" w:type="dxa"/>
        <w:tblLayout w:type="fixed"/>
        <w:tblCellMar>
          <w:top w:w="55" w:type="dxa"/>
          <w:start w:w="55" w:type="dxa"/>
          <w:bottom w:w="55" w:type="dxa"/>
          <w:end w:w="55" w:type="dxa"/>
        </w:tblCellMar>
      </w:tblPr>
      <w:tblGrid>
        <w:gridCol w:w="5153"/>
        <w:gridCol w:w="2155"/>
        <w:gridCol w:w="1877"/>
      </w:tblGrid>
      <w:tr>
        <w:trPr>
          <w:trHeight w:val="854" w:hRule="exact"/>
        </w:trPr>
        <w:tc>
          <w:tcPr>
            <w:tcW w:w="5153" w:type="dxa"/>
            <w:tcBorders>
              <w:top w:val="single" w:sz="2" w:space="0" w:color="000000"/>
              <w:start w:val="single" w:sz="2" w:space="0" w:color="000000"/>
              <w:bottom w:val="single" w:sz="2" w:space="0" w:color="000000"/>
            </w:tcBorders>
            <w:shd w:fill="FF8000" w:val="clear"/>
            <w:vAlign w:val="center"/>
          </w:tcPr>
          <w:p>
            <w:pPr>
              <w:pStyle w:val="Zawartotabeli"/>
              <w:snapToGrid w:val="false"/>
              <w:spacing w:lineRule="auto" w:line="360"/>
              <w:jc w:val="center"/>
              <w:rPr>
                <w:rFonts w:ascii="Calibri" w:hAnsi="Calibri"/>
                <w:b/>
                <w:bCs/>
              </w:rPr>
            </w:pPr>
            <w:r>
              <w:rPr>
                <w:rFonts w:ascii="Calibri" w:hAnsi="Calibri"/>
                <w:b/>
                <w:bCs/>
              </w:rPr>
              <w:t>Rodzaj świadczenia</w:t>
            </w:r>
          </w:p>
        </w:tc>
        <w:tc>
          <w:tcPr>
            <w:tcW w:w="2155" w:type="dxa"/>
            <w:tcBorders>
              <w:top w:val="single" w:sz="2" w:space="0" w:color="000000"/>
              <w:start w:val="single" w:sz="2" w:space="0" w:color="000000"/>
              <w:bottom w:val="single" w:sz="2" w:space="0" w:color="000000"/>
            </w:tcBorders>
            <w:shd w:fill="FF8000" w:val="clear"/>
            <w:vAlign w:val="center"/>
          </w:tcPr>
          <w:p>
            <w:pPr>
              <w:pStyle w:val="Zawartotabeli"/>
              <w:snapToGrid w:val="false"/>
              <w:spacing w:lineRule="auto" w:line="276"/>
              <w:jc w:val="center"/>
              <w:rPr>
                <w:rFonts w:ascii="Calibri" w:hAnsi="Calibri"/>
                <w:b/>
                <w:bCs/>
              </w:rPr>
            </w:pPr>
            <w:r>
              <w:rPr>
                <w:rFonts w:ascii="Calibri" w:hAnsi="Calibri"/>
                <w:b/>
                <w:bCs/>
              </w:rPr>
              <w:t>Liczba świadczeniobiorców</w:t>
            </w:r>
          </w:p>
        </w:tc>
        <w:tc>
          <w:tcPr>
            <w:tcW w:w="1877" w:type="dxa"/>
            <w:tcBorders>
              <w:top w:val="single" w:sz="2" w:space="0" w:color="000000"/>
              <w:start w:val="single" w:sz="2" w:space="0" w:color="000000"/>
              <w:bottom w:val="single" w:sz="2" w:space="0" w:color="000000"/>
              <w:end w:val="single" w:sz="2" w:space="0" w:color="000000"/>
            </w:tcBorders>
            <w:shd w:fill="FF8000" w:val="clear"/>
            <w:vAlign w:val="center"/>
          </w:tcPr>
          <w:p>
            <w:pPr>
              <w:pStyle w:val="Zawartotabeli"/>
              <w:snapToGrid w:val="false"/>
              <w:spacing w:lineRule="auto" w:line="360"/>
              <w:jc w:val="center"/>
              <w:rPr>
                <w:rFonts w:ascii="Calibri" w:hAnsi="Calibri"/>
                <w:b/>
                <w:bCs/>
              </w:rPr>
            </w:pPr>
            <w:r>
              <w:rPr>
                <w:rFonts w:ascii="Calibri" w:hAnsi="Calibri"/>
                <w:b/>
                <w:bCs/>
              </w:rPr>
              <w:t>Kwota</w:t>
            </w:r>
          </w:p>
        </w:tc>
      </w:tr>
      <w:tr>
        <w:trPr>
          <w:trHeight w:val="478" w:hRule="exact"/>
        </w:trPr>
        <w:tc>
          <w:tcPr>
            <w:tcW w:w="5153" w:type="dxa"/>
            <w:tcBorders>
              <w:start w:val="single" w:sz="2" w:space="0" w:color="000000"/>
              <w:bottom w:val="single" w:sz="2" w:space="0" w:color="000000"/>
            </w:tcBorders>
            <w:shd w:fill="E6E905" w:val="clear"/>
            <w:vAlign w:val="center"/>
          </w:tcPr>
          <w:p>
            <w:pPr>
              <w:pStyle w:val="Normal"/>
              <w:snapToGrid w:val="false"/>
              <w:spacing w:lineRule="auto" w:line="360"/>
              <w:jc w:val="center"/>
              <w:rPr>
                <w:rFonts w:ascii="Calibri" w:hAnsi="Calibri"/>
                <w:b/>
                <w:bCs/>
              </w:rPr>
            </w:pPr>
            <w:r>
              <w:rPr>
                <w:rFonts w:ascii="Calibri" w:hAnsi="Calibri"/>
                <w:b/>
                <w:bCs/>
              </w:rPr>
              <w:t>zasiłek stały</w:t>
            </w:r>
          </w:p>
        </w:tc>
        <w:tc>
          <w:tcPr>
            <w:tcW w:w="2155" w:type="dxa"/>
            <w:tcBorders>
              <w:start w:val="single" w:sz="2" w:space="0" w:color="000000"/>
              <w:bottom w:val="single" w:sz="2" w:space="0" w:color="000000"/>
            </w:tcBorders>
            <w:shd w:fill="ACB20C" w:val="clear"/>
            <w:vAlign w:val="center"/>
          </w:tcPr>
          <w:p>
            <w:pPr>
              <w:pStyle w:val="Normal"/>
              <w:snapToGrid w:val="false"/>
              <w:spacing w:lineRule="auto" w:line="360"/>
              <w:jc w:val="center"/>
              <w:rPr>
                <w:rFonts w:ascii="Calibri" w:hAnsi="Calibri"/>
              </w:rPr>
            </w:pPr>
            <w:r>
              <w:rPr>
                <w:rFonts w:ascii="Calibri" w:hAnsi="Calibri"/>
              </w:rPr>
              <w:t>624</w:t>
            </w:r>
          </w:p>
        </w:tc>
        <w:tc>
          <w:tcPr>
            <w:tcW w:w="1877" w:type="dxa"/>
            <w:tcBorders>
              <w:start w:val="single" w:sz="2" w:space="0" w:color="000000"/>
              <w:bottom w:val="single" w:sz="2" w:space="0" w:color="000000"/>
              <w:end w:val="single" w:sz="2" w:space="0" w:color="000000"/>
            </w:tcBorders>
            <w:shd w:fill="FFBF00" w:val="clear"/>
            <w:vAlign w:val="center"/>
          </w:tcPr>
          <w:p>
            <w:pPr>
              <w:pStyle w:val="Normal"/>
              <w:snapToGrid w:val="false"/>
              <w:spacing w:lineRule="auto" w:line="360"/>
              <w:jc w:val="center"/>
              <w:rPr>
                <w:rFonts w:ascii="Calibri" w:hAnsi="Calibri"/>
                <w:b/>
                <w:bCs/>
                <w:color w:val="000000"/>
              </w:rPr>
            </w:pPr>
            <w:r>
              <w:rPr>
                <w:rFonts w:ascii="Calibri" w:hAnsi="Calibri"/>
                <w:b/>
                <w:bCs/>
                <w:color w:val="000000"/>
              </w:rPr>
              <w:t>6 975 452,28 zł</w:t>
            </w:r>
          </w:p>
        </w:tc>
      </w:tr>
      <w:tr>
        <w:trPr>
          <w:trHeight w:val="404" w:hRule="exact"/>
        </w:trPr>
        <w:tc>
          <w:tcPr>
            <w:tcW w:w="5153" w:type="dxa"/>
            <w:tcBorders>
              <w:start w:val="single" w:sz="2" w:space="0" w:color="000000"/>
              <w:bottom w:val="single" w:sz="2" w:space="0" w:color="000000"/>
            </w:tcBorders>
            <w:shd w:fill="E6E905" w:val="clear"/>
            <w:vAlign w:val="center"/>
          </w:tcPr>
          <w:p>
            <w:pPr>
              <w:pStyle w:val="Normal"/>
              <w:tabs>
                <w:tab w:val="clear" w:pos="709"/>
                <w:tab w:val="left" w:pos="567" w:leader="none"/>
                <w:tab w:val="left" w:pos="5670" w:leader="none"/>
                <w:tab w:val="center" w:pos="10965" w:leader="none"/>
                <w:tab w:val="left" w:pos="10980" w:leader="none"/>
                <w:tab w:val="center" w:pos="10995" w:leader="none"/>
                <w:tab w:val="left" w:pos="11010" w:leader="none"/>
                <w:tab w:val="left" w:pos="11040" w:leader="none"/>
              </w:tabs>
              <w:snapToGrid w:val="false"/>
              <w:spacing w:lineRule="auto" w:line="360"/>
              <w:jc w:val="center"/>
              <w:rPr>
                <w:rFonts w:ascii="Calibri" w:hAnsi="Calibri"/>
              </w:rPr>
            </w:pPr>
            <w:r>
              <w:rPr>
                <w:rFonts w:ascii="Calibri" w:hAnsi="Calibri"/>
              </w:rPr>
              <w:t>zasiłek okresowy</w:t>
            </w:r>
          </w:p>
        </w:tc>
        <w:tc>
          <w:tcPr>
            <w:tcW w:w="2155" w:type="dxa"/>
            <w:tcBorders>
              <w:start w:val="single" w:sz="2" w:space="0" w:color="000000"/>
              <w:bottom w:val="single" w:sz="2" w:space="0" w:color="000000"/>
            </w:tcBorders>
            <w:shd w:fill="ACB20C" w:val="clear"/>
            <w:vAlign w:val="center"/>
          </w:tcPr>
          <w:p>
            <w:pPr>
              <w:pStyle w:val="Normal"/>
              <w:tabs>
                <w:tab w:val="clear" w:pos="709"/>
                <w:tab w:val="left" w:pos="567" w:leader="none"/>
                <w:tab w:val="left" w:pos="5670" w:leader="none"/>
                <w:tab w:val="center" w:pos="10965" w:leader="none"/>
                <w:tab w:val="left" w:pos="10980" w:leader="none"/>
                <w:tab w:val="center" w:pos="10995" w:leader="none"/>
                <w:tab w:val="left" w:pos="11010" w:leader="none"/>
                <w:tab w:val="left" w:pos="11040" w:leader="none"/>
              </w:tabs>
              <w:snapToGrid w:val="false"/>
              <w:spacing w:lineRule="auto" w:line="360"/>
              <w:jc w:val="center"/>
              <w:rPr>
                <w:rFonts w:ascii="Calibri" w:hAnsi="Calibri"/>
              </w:rPr>
            </w:pPr>
            <w:r>
              <w:rPr>
                <w:rFonts w:ascii="Calibri" w:hAnsi="Calibri"/>
              </w:rPr>
              <w:t>662</w:t>
            </w:r>
          </w:p>
        </w:tc>
        <w:tc>
          <w:tcPr>
            <w:tcW w:w="1877" w:type="dxa"/>
            <w:tcBorders>
              <w:start w:val="single" w:sz="2" w:space="0" w:color="000000"/>
              <w:bottom w:val="single" w:sz="2" w:space="0" w:color="000000"/>
              <w:end w:val="single" w:sz="2" w:space="0" w:color="000000"/>
            </w:tcBorders>
            <w:shd w:fill="FFBF00" w:val="clear"/>
            <w:vAlign w:val="center"/>
          </w:tcPr>
          <w:p>
            <w:pPr>
              <w:pStyle w:val="Normal"/>
              <w:tabs>
                <w:tab w:val="clear" w:pos="709"/>
                <w:tab w:val="left" w:pos="567" w:leader="none"/>
                <w:tab w:val="left" w:pos="5670" w:leader="none"/>
                <w:tab w:val="center" w:pos="10965" w:leader="none"/>
                <w:tab w:val="left" w:pos="10980" w:leader="none"/>
                <w:tab w:val="center" w:pos="10995" w:leader="none"/>
                <w:tab w:val="left" w:pos="11010" w:leader="none"/>
                <w:tab w:val="left" w:pos="11040" w:leader="none"/>
              </w:tabs>
              <w:snapToGrid w:val="false"/>
              <w:spacing w:lineRule="auto" w:line="360"/>
              <w:jc w:val="center"/>
              <w:rPr>
                <w:rFonts w:ascii="Calibri" w:hAnsi="Calibri"/>
                <w:b/>
                <w:bCs/>
              </w:rPr>
            </w:pPr>
            <w:r>
              <w:rPr>
                <w:rFonts w:ascii="Calibri" w:hAnsi="Calibri"/>
                <w:b/>
                <w:bCs/>
              </w:rPr>
              <w:t>2 496 877,40 zł</w:t>
            </w:r>
          </w:p>
        </w:tc>
      </w:tr>
      <w:tr>
        <w:trPr>
          <w:trHeight w:val="392" w:hRule="exact"/>
        </w:trPr>
        <w:tc>
          <w:tcPr>
            <w:tcW w:w="5153" w:type="dxa"/>
            <w:tcBorders>
              <w:start w:val="single" w:sz="2" w:space="0" w:color="000000"/>
              <w:bottom w:val="single" w:sz="2" w:space="0" w:color="000000"/>
            </w:tcBorders>
            <w:shd w:fill="E6E905" w:val="clear"/>
            <w:vAlign w:val="center"/>
          </w:tcPr>
          <w:p>
            <w:pPr>
              <w:pStyle w:val="Normal"/>
              <w:tabs>
                <w:tab w:val="clear" w:pos="709"/>
                <w:tab w:val="left" w:pos="5670" w:leader="none"/>
              </w:tabs>
              <w:snapToGrid w:val="false"/>
              <w:spacing w:lineRule="auto" w:line="360"/>
              <w:jc w:val="center"/>
              <w:rPr>
                <w:rFonts w:ascii="Calibri" w:hAnsi="Calibri"/>
              </w:rPr>
            </w:pPr>
            <w:r>
              <w:rPr>
                <w:rFonts w:ascii="Calibri" w:hAnsi="Calibri"/>
              </w:rPr>
              <w:t>zasiłek celowy</w:t>
            </w:r>
          </w:p>
        </w:tc>
        <w:tc>
          <w:tcPr>
            <w:tcW w:w="2155" w:type="dxa"/>
            <w:tcBorders>
              <w:start w:val="single" w:sz="2" w:space="0" w:color="000000"/>
              <w:bottom w:val="single" w:sz="2" w:space="0" w:color="000000"/>
            </w:tcBorders>
            <w:shd w:fill="ACB20C" w:val="clear"/>
            <w:vAlign w:val="center"/>
          </w:tcPr>
          <w:p>
            <w:pPr>
              <w:pStyle w:val="Normal"/>
              <w:tabs>
                <w:tab w:val="clear" w:pos="709"/>
                <w:tab w:val="left" w:pos="5670" w:leader="none"/>
              </w:tabs>
              <w:snapToGrid w:val="false"/>
              <w:spacing w:lineRule="auto" w:line="360"/>
              <w:jc w:val="center"/>
              <w:rPr>
                <w:rFonts w:ascii="Calibri" w:hAnsi="Calibri"/>
              </w:rPr>
            </w:pPr>
            <w:r>
              <w:rPr>
                <w:rFonts w:ascii="Calibri" w:hAnsi="Calibri"/>
              </w:rPr>
              <w:t>590</w:t>
            </w:r>
          </w:p>
        </w:tc>
        <w:tc>
          <w:tcPr>
            <w:tcW w:w="1877" w:type="dxa"/>
            <w:tcBorders>
              <w:start w:val="single" w:sz="2" w:space="0" w:color="000000"/>
              <w:bottom w:val="single" w:sz="2" w:space="0" w:color="000000"/>
              <w:end w:val="single" w:sz="2" w:space="0" w:color="000000"/>
            </w:tcBorders>
            <w:shd w:fill="FFBF00" w:val="clear"/>
            <w:vAlign w:val="center"/>
          </w:tcPr>
          <w:p>
            <w:pPr>
              <w:pStyle w:val="Normal"/>
              <w:tabs>
                <w:tab w:val="clear" w:pos="709"/>
                <w:tab w:val="left" w:pos="5670" w:leader="none"/>
              </w:tabs>
              <w:snapToGrid w:val="false"/>
              <w:spacing w:lineRule="auto" w:line="360"/>
              <w:jc w:val="center"/>
              <w:rPr>
                <w:rFonts w:ascii="Calibri" w:hAnsi="Calibri"/>
                <w:b/>
                <w:bCs/>
              </w:rPr>
            </w:pPr>
            <w:r>
              <w:rPr>
                <w:rFonts w:ascii="Calibri" w:hAnsi="Calibri"/>
                <w:b/>
                <w:bCs/>
              </w:rPr>
              <w:t>330 213,94 zł</w:t>
            </w:r>
          </w:p>
        </w:tc>
      </w:tr>
      <w:tr>
        <w:trPr>
          <w:trHeight w:val="462" w:hRule="exact"/>
        </w:trPr>
        <w:tc>
          <w:tcPr>
            <w:tcW w:w="5153" w:type="dxa"/>
            <w:tcBorders>
              <w:start w:val="single" w:sz="2" w:space="0" w:color="000000"/>
              <w:bottom w:val="single" w:sz="2" w:space="0" w:color="000000"/>
            </w:tcBorders>
            <w:shd w:fill="E6E905" w:val="clear"/>
            <w:vAlign w:val="center"/>
          </w:tcPr>
          <w:p>
            <w:pPr>
              <w:pStyle w:val="Normal"/>
              <w:tabs>
                <w:tab w:val="clear" w:pos="709"/>
                <w:tab w:val="left" w:pos="5670" w:leader="none"/>
              </w:tabs>
              <w:snapToGrid w:val="false"/>
              <w:spacing w:lineRule="auto" w:line="360"/>
              <w:jc w:val="center"/>
              <w:rPr>
                <w:rFonts w:ascii="Calibri" w:hAnsi="Calibri"/>
              </w:rPr>
            </w:pPr>
            <w:r>
              <w:rPr>
                <w:rFonts w:ascii="Calibri" w:hAnsi="Calibri"/>
              </w:rPr>
              <w:t>zasiłek celowy specjalny</w:t>
            </w:r>
          </w:p>
        </w:tc>
        <w:tc>
          <w:tcPr>
            <w:tcW w:w="2155" w:type="dxa"/>
            <w:tcBorders>
              <w:start w:val="single" w:sz="2" w:space="0" w:color="000000"/>
              <w:bottom w:val="single" w:sz="2" w:space="0" w:color="000000"/>
            </w:tcBorders>
            <w:shd w:fill="ACB20C" w:val="clear"/>
            <w:vAlign w:val="center"/>
          </w:tcPr>
          <w:p>
            <w:pPr>
              <w:pStyle w:val="Normal"/>
              <w:tabs>
                <w:tab w:val="clear" w:pos="709"/>
                <w:tab w:val="left" w:pos="5670" w:leader="none"/>
              </w:tabs>
              <w:snapToGrid w:val="false"/>
              <w:spacing w:lineRule="auto" w:line="360"/>
              <w:jc w:val="center"/>
              <w:rPr>
                <w:rFonts w:ascii="Calibri" w:hAnsi="Calibri"/>
              </w:rPr>
            </w:pPr>
            <w:r>
              <w:rPr>
                <w:rFonts w:ascii="Calibri" w:hAnsi="Calibri"/>
              </w:rPr>
              <w:t>143</w:t>
            </w:r>
          </w:p>
        </w:tc>
        <w:tc>
          <w:tcPr>
            <w:tcW w:w="1877" w:type="dxa"/>
            <w:tcBorders>
              <w:start w:val="single" w:sz="2" w:space="0" w:color="000000"/>
              <w:bottom w:val="single" w:sz="2" w:space="0" w:color="000000"/>
              <w:end w:val="single" w:sz="2" w:space="0" w:color="000000"/>
            </w:tcBorders>
            <w:shd w:fill="FFBF00" w:val="clear"/>
            <w:vAlign w:val="center"/>
          </w:tcPr>
          <w:p>
            <w:pPr>
              <w:pStyle w:val="Normal"/>
              <w:tabs>
                <w:tab w:val="clear" w:pos="709"/>
                <w:tab w:val="left" w:pos="5670" w:leader="none"/>
              </w:tabs>
              <w:snapToGrid w:val="false"/>
              <w:spacing w:lineRule="auto" w:line="360"/>
              <w:jc w:val="center"/>
              <w:rPr>
                <w:rFonts w:ascii="Calibri" w:hAnsi="Calibri"/>
                <w:b/>
                <w:bCs/>
              </w:rPr>
            </w:pPr>
            <w:r>
              <w:rPr>
                <w:rFonts w:ascii="Calibri" w:hAnsi="Calibri"/>
                <w:b/>
                <w:bCs/>
              </w:rPr>
              <w:t>84 894,16 zł</w:t>
            </w:r>
          </w:p>
        </w:tc>
      </w:tr>
      <w:tr>
        <w:trPr>
          <w:trHeight w:val="727" w:hRule="exact"/>
        </w:trPr>
        <w:tc>
          <w:tcPr>
            <w:tcW w:w="5153" w:type="dxa"/>
            <w:tcBorders>
              <w:start w:val="single" w:sz="2" w:space="0" w:color="000000"/>
              <w:bottom w:val="single" w:sz="2" w:space="0" w:color="000000"/>
            </w:tcBorders>
            <w:shd w:fill="E6E905" w:val="clear"/>
            <w:vAlign w:val="center"/>
          </w:tcPr>
          <w:p>
            <w:pPr>
              <w:pStyle w:val="Normal"/>
              <w:tabs>
                <w:tab w:val="clear" w:pos="709"/>
                <w:tab w:val="left" w:pos="5670" w:leader="none"/>
              </w:tabs>
              <w:snapToGrid w:val="false"/>
              <w:jc w:val="center"/>
              <w:rPr>
                <w:rFonts w:ascii="Calibri" w:hAnsi="Calibri"/>
              </w:rPr>
            </w:pPr>
            <w:r>
              <w:rPr>
                <w:rFonts w:ascii="Calibri" w:hAnsi="Calibri"/>
              </w:rPr>
              <w:t>zasiłek celowy na pokrycie wydatków powstałych w wyniku zdarzenia losowego</w:t>
            </w:r>
          </w:p>
        </w:tc>
        <w:tc>
          <w:tcPr>
            <w:tcW w:w="2155" w:type="dxa"/>
            <w:tcBorders>
              <w:start w:val="single" w:sz="2" w:space="0" w:color="000000"/>
              <w:bottom w:val="single" w:sz="2" w:space="0" w:color="000000"/>
            </w:tcBorders>
            <w:shd w:fill="ACB20C" w:val="clear"/>
            <w:vAlign w:val="center"/>
          </w:tcPr>
          <w:p>
            <w:pPr>
              <w:pStyle w:val="Normal"/>
              <w:tabs>
                <w:tab w:val="clear" w:pos="709"/>
                <w:tab w:val="left" w:pos="5670" w:leader="none"/>
              </w:tabs>
              <w:snapToGrid w:val="false"/>
              <w:spacing w:lineRule="auto" w:line="360" w:before="114" w:after="114"/>
              <w:jc w:val="center"/>
              <w:rPr>
                <w:rFonts w:ascii="Calibri" w:hAnsi="Calibri"/>
              </w:rPr>
            </w:pPr>
            <w:r>
              <w:rPr>
                <w:rFonts w:ascii="Calibri" w:hAnsi="Calibri"/>
              </w:rPr>
              <w:t>4</w:t>
            </w:r>
          </w:p>
        </w:tc>
        <w:tc>
          <w:tcPr>
            <w:tcW w:w="1877" w:type="dxa"/>
            <w:tcBorders>
              <w:start w:val="single" w:sz="2" w:space="0" w:color="000000"/>
              <w:bottom w:val="single" w:sz="2" w:space="0" w:color="000000"/>
              <w:end w:val="single" w:sz="2" w:space="0" w:color="000000"/>
            </w:tcBorders>
            <w:shd w:fill="FFBF00" w:val="clear"/>
            <w:vAlign w:val="center"/>
          </w:tcPr>
          <w:p>
            <w:pPr>
              <w:pStyle w:val="Normal"/>
              <w:tabs>
                <w:tab w:val="clear" w:pos="709"/>
                <w:tab w:val="left" w:pos="5670" w:leader="none"/>
              </w:tabs>
              <w:snapToGrid w:val="false"/>
              <w:spacing w:lineRule="auto" w:line="360" w:before="171" w:after="171"/>
              <w:jc w:val="center"/>
              <w:rPr>
                <w:rFonts w:ascii="Calibri" w:hAnsi="Calibri"/>
                <w:b/>
                <w:bCs/>
              </w:rPr>
            </w:pPr>
            <w:r>
              <w:rPr>
                <w:rFonts w:ascii="Calibri" w:hAnsi="Calibri"/>
                <w:b/>
                <w:bCs/>
              </w:rPr>
              <w:t>4 750,00 zł</w:t>
            </w:r>
          </w:p>
        </w:tc>
      </w:tr>
      <w:tr>
        <w:trPr>
          <w:trHeight w:val="461" w:hRule="exact"/>
        </w:trPr>
        <w:tc>
          <w:tcPr>
            <w:tcW w:w="5153" w:type="dxa"/>
            <w:tcBorders>
              <w:start w:val="single" w:sz="2" w:space="0" w:color="000000"/>
              <w:bottom w:val="single" w:sz="2" w:space="0" w:color="000000"/>
            </w:tcBorders>
            <w:shd w:fill="E6E905" w:val="clear"/>
            <w:vAlign w:val="center"/>
          </w:tcPr>
          <w:p>
            <w:pPr>
              <w:pStyle w:val="Normal"/>
              <w:snapToGrid w:val="false"/>
              <w:spacing w:lineRule="auto" w:line="360"/>
              <w:jc w:val="center"/>
              <w:rPr>
                <w:rFonts w:ascii="Calibri" w:hAnsi="Calibri"/>
              </w:rPr>
            </w:pPr>
            <w:r>
              <w:rPr>
                <w:rFonts w:ascii="Calibri" w:hAnsi="Calibri"/>
              </w:rPr>
              <w:t>schronienie</w:t>
            </w:r>
          </w:p>
        </w:tc>
        <w:tc>
          <w:tcPr>
            <w:tcW w:w="2155" w:type="dxa"/>
            <w:tcBorders>
              <w:start w:val="single" w:sz="2" w:space="0" w:color="000000"/>
              <w:bottom w:val="single" w:sz="2" w:space="0" w:color="000000"/>
            </w:tcBorders>
            <w:shd w:fill="ACB20C" w:val="clear"/>
            <w:vAlign w:val="center"/>
          </w:tcPr>
          <w:p>
            <w:pPr>
              <w:pStyle w:val="Normal"/>
              <w:snapToGrid w:val="false"/>
              <w:spacing w:lineRule="auto" w:line="360"/>
              <w:jc w:val="center"/>
              <w:rPr>
                <w:rFonts w:ascii="Calibri" w:hAnsi="Calibri"/>
              </w:rPr>
            </w:pPr>
            <w:r>
              <w:rPr>
                <w:rFonts w:ascii="Calibri" w:hAnsi="Calibri"/>
              </w:rPr>
              <w:t>37</w:t>
            </w:r>
          </w:p>
        </w:tc>
        <w:tc>
          <w:tcPr>
            <w:tcW w:w="1877" w:type="dxa"/>
            <w:tcBorders>
              <w:start w:val="single" w:sz="2" w:space="0" w:color="000000"/>
              <w:bottom w:val="single" w:sz="2" w:space="0" w:color="000000"/>
              <w:end w:val="single" w:sz="2" w:space="0" w:color="000000"/>
            </w:tcBorders>
            <w:shd w:fill="FFBF00" w:val="clear"/>
            <w:vAlign w:val="center"/>
          </w:tcPr>
          <w:p>
            <w:pPr>
              <w:pStyle w:val="Normal"/>
              <w:snapToGrid w:val="false"/>
              <w:spacing w:lineRule="auto" w:line="360"/>
              <w:jc w:val="center"/>
              <w:rPr>
                <w:rFonts w:ascii="Calibri" w:hAnsi="Calibri"/>
                <w:b/>
                <w:bCs/>
              </w:rPr>
            </w:pPr>
            <w:r>
              <w:rPr>
                <w:rFonts w:ascii="Calibri" w:hAnsi="Calibri"/>
                <w:b/>
                <w:bCs/>
              </w:rPr>
              <w:t>102 252,36 zł</w:t>
            </w:r>
          </w:p>
        </w:tc>
      </w:tr>
      <w:tr>
        <w:trPr>
          <w:trHeight w:val="450" w:hRule="exact"/>
        </w:trPr>
        <w:tc>
          <w:tcPr>
            <w:tcW w:w="5153" w:type="dxa"/>
            <w:tcBorders>
              <w:start w:val="single" w:sz="2" w:space="0" w:color="000000"/>
              <w:bottom w:val="single" w:sz="2" w:space="0" w:color="000000"/>
            </w:tcBorders>
            <w:shd w:fill="E6E905" w:val="clear"/>
            <w:vAlign w:val="center"/>
          </w:tcPr>
          <w:p>
            <w:pPr>
              <w:pStyle w:val="Normal"/>
              <w:snapToGrid w:val="false"/>
              <w:spacing w:lineRule="auto" w:line="360"/>
              <w:jc w:val="center"/>
              <w:rPr>
                <w:rFonts w:ascii="Calibri" w:hAnsi="Calibri"/>
              </w:rPr>
            </w:pPr>
            <w:r>
              <w:rPr>
                <w:rFonts w:ascii="Calibri" w:hAnsi="Calibri"/>
              </w:rPr>
              <w:t>sprawienie pogrzebu</w:t>
            </w:r>
          </w:p>
        </w:tc>
        <w:tc>
          <w:tcPr>
            <w:tcW w:w="2155" w:type="dxa"/>
            <w:tcBorders>
              <w:start w:val="single" w:sz="2" w:space="0" w:color="000000"/>
              <w:bottom w:val="single" w:sz="2" w:space="0" w:color="000000"/>
            </w:tcBorders>
            <w:shd w:fill="ACB20C" w:val="clear"/>
            <w:vAlign w:val="center"/>
          </w:tcPr>
          <w:p>
            <w:pPr>
              <w:pStyle w:val="Normal"/>
              <w:snapToGrid w:val="false"/>
              <w:spacing w:lineRule="auto" w:line="360"/>
              <w:jc w:val="center"/>
              <w:rPr>
                <w:rFonts w:ascii="Calibri" w:hAnsi="Calibri"/>
              </w:rPr>
            </w:pPr>
            <w:r>
              <w:rPr>
                <w:rFonts w:ascii="Calibri" w:hAnsi="Calibri"/>
              </w:rPr>
              <w:t>7</w:t>
            </w:r>
          </w:p>
        </w:tc>
        <w:tc>
          <w:tcPr>
            <w:tcW w:w="1877" w:type="dxa"/>
            <w:tcBorders>
              <w:start w:val="single" w:sz="2" w:space="0" w:color="000000"/>
              <w:bottom w:val="single" w:sz="2" w:space="0" w:color="000000"/>
              <w:end w:val="single" w:sz="2" w:space="0" w:color="000000"/>
            </w:tcBorders>
            <w:shd w:fill="FFBF00" w:val="clear"/>
            <w:vAlign w:val="center"/>
          </w:tcPr>
          <w:p>
            <w:pPr>
              <w:pStyle w:val="Normal"/>
              <w:snapToGrid w:val="false"/>
              <w:spacing w:lineRule="auto" w:line="360"/>
              <w:jc w:val="center"/>
              <w:rPr>
                <w:rFonts w:ascii="Calibri" w:hAnsi="Calibri"/>
                <w:b/>
                <w:bCs/>
              </w:rPr>
            </w:pPr>
            <w:r>
              <w:rPr>
                <w:rFonts w:ascii="Calibri" w:hAnsi="Calibri"/>
                <w:b/>
                <w:bCs/>
              </w:rPr>
              <w:t>24 500,00 zł</w:t>
            </w:r>
          </w:p>
        </w:tc>
      </w:tr>
      <w:tr>
        <w:trPr>
          <w:trHeight w:val="393" w:hRule="exact"/>
        </w:trPr>
        <w:tc>
          <w:tcPr>
            <w:tcW w:w="5153" w:type="dxa"/>
            <w:tcBorders>
              <w:start w:val="single" w:sz="2" w:space="0" w:color="000000"/>
              <w:bottom w:val="single" w:sz="2" w:space="0" w:color="000000"/>
            </w:tcBorders>
            <w:shd w:fill="E6E905" w:val="clear"/>
            <w:vAlign w:val="center"/>
          </w:tcPr>
          <w:p>
            <w:pPr>
              <w:pStyle w:val="Normal"/>
              <w:snapToGrid w:val="false"/>
              <w:spacing w:lineRule="auto" w:line="360"/>
              <w:jc w:val="center"/>
              <w:rPr>
                <w:rFonts w:ascii="Calibri" w:hAnsi="Calibri"/>
              </w:rPr>
            </w:pPr>
            <w:r>
              <w:rPr>
                <w:rFonts w:ascii="Calibri" w:hAnsi="Calibri"/>
              </w:rPr>
              <w:t>opłacenie  pobytu w DPS</w:t>
            </w:r>
          </w:p>
        </w:tc>
        <w:tc>
          <w:tcPr>
            <w:tcW w:w="2155" w:type="dxa"/>
            <w:tcBorders>
              <w:start w:val="single" w:sz="2" w:space="0" w:color="000000"/>
              <w:bottom w:val="single" w:sz="2" w:space="0" w:color="000000"/>
            </w:tcBorders>
            <w:shd w:fill="ACB20C" w:val="clear"/>
            <w:vAlign w:val="center"/>
          </w:tcPr>
          <w:p>
            <w:pPr>
              <w:pStyle w:val="Normal"/>
              <w:snapToGrid w:val="false"/>
              <w:spacing w:lineRule="auto" w:line="360"/>
              <w:jc w:val="center"/>
              <w:rPr>
                <w:rFonts w:ascii="Calibri" w:hAnsi="Calibri"/>
              </w:rPr>
            </w:pPr>
            <w:r>
              <w:rPr>
                <w:rFonts w:ascii="Calibri" w:hAnsi="Calibri"/>
              </w:rPr>
              <w:t>248</w:t>
            </w:r>
          </w:p>
        </w:tc>
        <w:tc>
          <w:tcPr>
            <w:tcW w:w="1877" w:type="dxa"/>
            <w:tcBorders>
              <w:start w:val="single" w:sz="2" w:space="0" w:color="000000"/>
              <w:bottom w:val="single" w:sz="2" w:space="0" w:color="000000"/>
              <w:end w:val="single" w:sz="2" w:space="0" w:color="000000"/>
            </w:tcBorders>
            <w:shd w:fill="FFBF00" w:val="clear"/>
            <w:vAlign w:val="center"/>
          </w:tcPr>
          <w:p>
            <w:pPr>
              <w:pStyle w:val="Normal"/>
              <w:snapToGrid w:val="false"/>
              <w:spacing w:lineRule="auto" w:line="360"/>
              <w:jc w:val="center"/>
              <w:rPr>
                <w:rFonts w:ascii="Calibri" w:hAnsi="Calibri"/>
                <w:b/>
                <w:bCs/>
              </w:rPr>
            </w:pPr>
            <w:r>
              <w:rPr>
                <w:rFonts w:ascii="Calibri" w:hAnsi="Calibri"/>
                <w:b/>
                <w:bCs/>
              </w:rPr>
              <w:t>10 461 145,18 zł</w:t>
            </w:r>
          </w:p>
        </w:tc>
      </w:tr>
      <w:tr>
        <w:trPr>
          <w:trHeight w:val="403" w:hRule="exact"/>
        </w:trPr>
        <w:tc>
          <w:tcPr>
            <w:tcW w:w="5153" w:type="dxa"/>
            <w:tcBorders>
              <w:start w:val="single" w:sz="2" w:space="0" w:color="000000"/>
              <w:bottom w:val="single" w:sz="2" w:space="0" w:color="000000"/>
            </w:tcBorders>
            <w:shd w:fill="E6E905" w:val="clear"/>
            <w:vAlign w:val="center"/>
          </w:tcPr>
          <w:p>
            <w:pPr>
              <w:pStyle w:val="Normal"/>
              <w:snapToGrid w:val="false"/>
              <w:spacing w:lineRule="auto" w:line="360"/>
              <w:jc w:val="center"/>
              <w:rPr>
                <w:rFonts w:ascii="Calibri" w:hAnsi="Calibri"/>
              </w:rPr>
            </w:pPr>
            <w:r>
              <w:rPr>
                <w:rFonts w:ascii="Calibri" w:hAnsi="Calibri"/>
              </w:rPr>
              <w:t>usługi wsparcia krótkoterminowego</w:t>
            </w:r>
          </w:p>
        </w:tc>
        <w:tc>
          <w:tcPr>
            <w:tcW w:w="2155" w:type="dxa"/>
            <w:tcBorders>
              <w:start w:val="single" w:sz="2" w:space="0" w:color="000000"/>
              <w:bottom w:val="single" w:sz="2" w:space="0" w:color="000000"/>
            </w:tcBorders>
            <w:shd w:fill="ACB20C" w:val="clear"/>
            <w:vAlign w:val="center"/>
          </w:tcPr>
          <w:p>
            <w:pPr>
              <w:pStyle w:val="Normal"/>
              <w:snapToGrid w:val="false"/>
              <w:spacing w:lineRule="auto" w:line="360"/>
              <w:jc w:val="center"/>
              <w:rPr>
                <w:rFonts w:ascii="Calibri" w:hAnsi="Calibri"/>
              </w:rPr>
            </w:pPr>
            <w:r>
              <w:rPr>
                <w:rFonts w:ascii="Calibri" w:hAnsi="Calibri"/>
              </w:rPr>
              <w:t>19</w:t>
            </w:r>
          </w:p>
        </w:tc>
        <w:tc>
          <w:tcPr>
            <w:tcW w:w="1877" w:type="dxa"/>
            <w:tcBorders>
              <w:start w:val="single" w:sz="2" w:space="0" w:color="000000"/>
              <w:bottom w:val="single" w:sz="2" w:space="0" w:color="000000"/>
              <w:end w:val="single" w:sz="2" w:space="0" w:color="000000"/>
            </w:tcBorders>
            <w:shd w:fill="FFBF00" w:val="clear"/>
            <w:vAlign w:val="center"/>
          </w:tcPr>
          <w:p>
            <w:pPr>
              <w:pStyle w:val="Normal"/>
              <w:snapToGrid w:val="false"/>
              <w:spacing w:lineRule="auto" w:line="360"/>
              <w:jc w:val="center"/>
              <w:rPr>
                <w:rFonts w:ascii="Calibri" w:hAnsi="Calibri"/>
                <w:b/>
                <w:bCs/>
              </w:rPr>
            </w:pPr>
            <w:r>
              <w:rPr>
                <w:rFonts w:ascii="Calibri" w:hAnsi="Calibri"/>
                <w:b/>
                <w:bCs/>
              </w:rPr>
              <w:t>73 124,00 zł</w:t>
            </w:r>
          </w:p>
        </w:tc>
      </w:tr>
      <w:tr>
        <w:trPr>
          <w:trHeight w:val="450" w:hRule="exact"/>
        </w:trPr>
        <w:tc>
          <w:tcPr>
            <w:tcW w:w="5153" w:type="dxa"/>
            <w:tcBorders>
              <w:start w:val="single" w:sz="2" w:space="0" w:color="000000"/>
              <w:bottom w:val="single" w:sz="2" w:space="0" w:color="000000"/>
            </w:tcBorders>
            <w:shd w:fill="E6E905" w:val="clear"/>
            <w:vAlign w:val="center"/>
          </w:tcPr>
          <w:p>
            <w:pPr>
              <w:pStyle w:val="Normal"/>
              <w:snapToGrid w:val="false"/>
              <w:spacing w:lineRule="auto" w:line="360"/>
              <w:jc w:val="center"/>
              <w:rPr>
                <w:rFonts w:ascii="Calibri" w:hAnsi="Calibri"/>
              </w:rPr>
            </w:pPr>
            <w:r>
              <w:rPr>
                <w:rFonts w:ascii="Calibri" w:hAnsi="Calibri"/>
              </w:rPr>
              <w:t>składki na ubezpieczenie zdrowotne</w:t>
            </w:r>
          </w:p>
        </w:tc>
        <w:tc>
          <w:tcPr>
            <w:tcW w:w="2155" w:type="dxa"/>
            <w:tcBorders>
              <w:start w:val="single" w:sz="2" w:space="0" w:color="000000"/>
              <w:bottom w:val="single" w:sz="2" w:space="0" w:color="000000"/>
            </w:tcBorders>
            <w:shd w:fill="ACB20C" w:val="clear"/>
            <w:vAlign w:val="center"/>
          </w:tcPr>
          <w:p>
            <w:pPr>
              <w:pStyle w:val="Normal"/>
              <w:snapToGrid w:val="false"/>
              <w:spacing w:lineRule="auto" w:line="360"/>
              <w:jc w:val="center"/>
              <w:rPr>
                <w:rFonts w:ascii="Calibri" w:hAnsi="Calibri"/>
                <w:color w:val="000000"/>
              </w:rPr>
            </w:pPr>
            <w:r>
              <w:rPr>
                <w:rFonts w:ascii="Calibri" w:hAnsi="Calibri"/>
                <w:color w:val="000000"/>
              </w:rPr>
              <w:t>545</w:t>
            </w:r>
          </w:p>
        </w:tc>
        <w:tc>
          <w:tcPr>
            <w:tcW w:w="1877" w:type="dxa"/>
            <w:tcBorders>
              <w:start w:val="single" w:sz="2" w:space="0" w:color="000000"/>
              <w:bottom w:val="single" w:sz="2" w:space="0" w:color="000000"/>
              <w:end w:val="single" w:sz="2" w:space="0" w:color="000000"/>
            </w:tcBorders>
            <w:shd w:fill="FFBF00" w:val="clear"/>
            <w:vAlign w:val="center"/>
          </w:tcPr>
          <w:p>
            <w:pPr>
              <w:pStyle w:val="Normal"/>
              <w:snapToGrid w:val="false"/>
              <w:spacing w:lineRule="auto" w:line="360"/>
              <w:jc w:val="center"/>
              <w:rPr>
                <w:rFonts w:ascii="Calibri" w:hAnsi="Calibri"/>
                <w:b/>
                <w:bCs/>
                <w:color w:val="000000"/>
              </w:rPr>
            </w:pPr>
            <w:r>
              <w:rPr>
                <w:rFonts w:ascii="Calibri" w:hAnsi="Calibri"/>
                <w:b/>
                <w:bCs/>
                <w:color w:val="000000"/>
              </w:rPr>
              <w:t>564 088,61 zł</w:t>
            </w:r>
          </w:p>
        </w:tc>
      </w:tr>
      <w:tr>
        <w:trPr>
          <w:trHeight w:val="347" w:hRule="exact"/>
        </w:trPr>
        <w:tc>
          <w:tcPr>
            <w:tcW w:w="5153" w:type="dxa"/>
            <w:tcBorders>
              <w:start w:val="single" w:sz="2" w:space="0" w:color="000000"/>
              <w:bottom w:val="single" w:sz="2" w:space="0" w:color="000000"/>
            </w:tcBorders>
            <w:shd w:fill="E6E905" w:val="clear"/>
            <w:vAlign w:val="center"/>
          </w:tcPr>
          <w:p>
            <w:pPr>
              <w:pStyle w:val="Normal"/>
              <w:snapToGrid w:val="false"/>
              <w:spacing w:lineRule="auto" w:line="360"/>
              <w:jc w:val="center"/>
              <w:rPr>
                <w:rFonts w:ascii="Calibri" w:hAnsi="Calibri"/>
              </w:rPr>
            </w:pPr>
            <w:r>
              <w:rPr>
                <w:rFonts w:ascii="Calibri" w:hAnsi="Calibri"/>
              </w:rPr>
              <w:t>usługi opiekuńcze</w:t>
            </w:r>
          </w:p>
        </w:tc>
        <w:tc>
          <w:tcPr>
            <w:tcW w:w="2155" w:type="dxa"/>
            <w:tcBorders>
              <w:start w:val="single" w:sz="2" w:space="0" w:color="000000"/>
              <w:bottom w:val="single" w:sz="2" w:space="0" w:color="000000"/>
            </w:tcBorders>
            <w:shd w:fill="ACB20C" w:val="clear"/>
            <w:vAlign w:val="center"/>
          </w:tcPr>
          <w:p>
            <w:pPr>
              <w:pStyle w:val="Normal"/>
              <w:snapToGrid w:val="false"/>
              <w:spacing w:lineRule="auto" w:line="360"/>
              <w:jc w:val="center"/>
              <w:rPr>
                <w:rFonts w:ascii="Calibri" w:hAnsi="Calibri"/>
              </w:rPr>
            </w:pPr>
            <w:r>
              <w:rPr>
                <w:rFonts w:ascii="Calibri" w:hAnsi="Calibri"/>
              </w:rPr>
              <w:t>218</w:t>
            </w:r>
          </w:p>
        </w:tc>
        <w:tc>
          <w:tcPr>
            <w:tcW w:w="1877" w:type="dxa"/>
            <w:tcBorders>
              <w:start w:val="single" w:sz="2" w:space="0" w:color="000000"/>
              <w:bottom w:val="single" w:sz="2" w:space="0" w:color="000000"/>
              <w:end w:val="single" w:sz="2" w:space="0" w:color="000000"/>
            </w:tcBorders>
            <w:shd w:fill="FFBF00" w:val="clear"/>
            <w:vAlign w:val="center"/>
          </w:tcPr>
          <w:p>
            <w:pPr>
              <w:pStyle w:val="Normal"/>
              <w:snapToGrid w:val="false"/>
              <w:spacing w:lineRule="auto" w:line="360"/>
              <w:jc w:val="center"/>
              <w:rPr>
                <w:rFonts w:ascii="Calibri" w:hAnsi="Calibri"/>
                <w:b/>
                <w:bCs/>
              </w:rPr>
            </w:pPr>
            <w:r>
              <w:rPr>
                <w:rFonts w:ascii="Calibri" w:hAnsi="Calibri"/>
                <w:b/>
                <w:bCs/>
              </w:rPr>
              <w:t>131 194,00 zł</w:t>
            </w:r>
          </w:p>
        </w:tc>
      </w:tr>
      <w:tr>
        <w:trPr>
          <w:trHeight w:val="392" w:hRule="exact"/>
        </w:trPr>
        <w:tc>
          <w:tcPr>
            <w:tcW w:w="5153" w:type="dxa"/>
            <w:tcBorders>
              <w:start w:val="single" w:sz="2" w:space="0" w:color="000000"/>
              <w:bottom w:val="single" w:sz="2" w:space="0" w:color="000000"/>
            </w:tcBorders>
            <w:shd w:fill="E6E905" w:val="clear"/>
            <w:vAlign w:val="center"/>
          </w:tcPr>
          <w:p>
            <w:pPr>
              <w:pStyle w:val="Normal"/>
              <w:snapToGrid w:val="false"/>
              <w:spacing w:lineRule="auto" w:line="360"/>
              <w:jc w:val="center"/>
              <w:rPr>
                <w:rFonts w:ascii="Calibri" w:hAnsi="Calibri"/>
              </w:rPr>
            </w:pPr>
            <w:r>
              <w:rPr>
                <w:rFonts w:ascii="Calibri" w:hAnsi="Calibri"/>
              </w:rPr>
              <w:t>specjalistyczne usługi opiekuńcze – zadania zlecone</w:t>
            </w:r>
          </w:p>
        </w:tc>
        <w:tc>
          <w:tcPr>
            <w:tcW w:w="2155" w:type="dxa"/>
            <w:tcBorders>
              <w:start w:val="single" w:sz="2" w:space="0" w:color="000000"/>
              <w:bottom w:val="single" w:sz="2" w:space="0" w:color="000000"/>
            </w:tcBorders>
            <w:shd w:fill="ACB20C" w:val="clear"/>
            <w:vAlign w:val="center"/>
          </w:tcPr>
          <w:p>
            <w:pPr>
              <w:pStyle w:val="Normal"/>
              <w:snapToGrid w:val="false"/>
              <w:spacing w:lineRule="auto" w:line="360"/>
              <w:jc w:val="center"/>
              <w:rPr>
                <w:rFonts w:ascii="Calibri" w:hAnsi="Calibri"/>
              </w:rPr>
            </w:pPr>
            <w:r>
              <w:rPr>
                <w:rFonts w:ascii="Calibri" w:hAnsi="Calibri"/>
              </w:rPr>
              <w:t>11</w:t>
            </w:r>
          </w:p>
        </w:tc>
        <w:tc>
          <w:tcPr>
            <w:tcW w:w="1877" w:type="dxa"/>
            <w:tcBorders>
              <w:start w:val="single" w:sz="2" w:space="0" w:color="000000"/>
              <w:bottom w:val="single" w:sz="2" w:space="0" w:color="000000"/>
              <w:end w:val="single" w:sz="2" w:space="0" w:color="000000"/>
            </w:tcBorders>
            <w:shd w:fill="FFBF00" w:val="clear"/>
            <w:vAlign w:val="center"/>
          </w:tcPr>
          <w:p>
            <w:pPr>
              <w:pStyle w:val="Normal"/>
              <w:snapToGrid w:val="false"/>
              <w:spacing w:lineRule="auto" w:line="360"/>
              <w:jc w:val="center"/>
              <w:rPr>
                <w:rFonts w:ascii="Calibri" w:hAnsi="Calibri"/>
                <w:b/>
                <w:bCs/>
              </w:rPr>
            </w:pPr>
            <w:r>
              <w:rPr>
                <w:rFonts w:ascii="Calibri" w:hAnsi="Calibri"/>
                <w:b/>
                <w:bCs/>
              </w:rPr>
              <w:t>222 430,00 zł</w:t>
            </w:r>
          </w:p>
        </w:tc>
      </w:tr>
      <w:tr>
        <w:trPr>
          <w:trHeight w:val="450" w:hRule="exact"/>
        </w:trPr>
        <w:tc>
          <w:tcPr>
            <w:tcW w:w="5153" w:type="dxa"/>
            <w:tcBorders>
              <w:start w:val="single" w:sz="2" w:space="0" w:color="000000"/>
              <w:bottom w:val="single" w:sz="2" w:space="0" w:color="000000"/>
            </w:tcBorders>
            <w:shd w:fill="E6E905" w:val="clear"/>
            <w:vAlign w:val="center"/>
          </w:tcPr>
          <w:p>
            <w:pPr>
              <w:pStyle w:val="Normal"/>
              <w:snapToGrid w:val="false"/>
              <w:spacing w:lineRule="auto" w:line="360"/>
              <w:jc w:val="center"/>
              <w:rPr>
                <w:rFonts w:ascii="Calibri" w:hAnsi="Calibri"/>
              </w:rPr>
            </w:pPr>
            <w:r>
              <w:rPr>
                <w:rFonts w:ascii="Calibri" w:hAnsi="Calibri"/>
              </w:rPr>
              <w:t>specjalistyczne usługi opiekuńcze – zadania  własne</w:t>
            </w:r>
          </w:p>
        </w:tc>
        <w:tc>
          <w:tcPr>
            <w:tcW w:w="2155" w:type="dxa"/>
            <w:tcBorders>
              <w:start w:val="single" w:sz="2" w:space="0" w:color="000000"/>
              <w:bottom w:val="single" w:sz="2" w:space="0" w:color="000000"/>
            </w:tcBorders>
            <w:shd w:fill="ACB20C" w:val="clear"/>
            <w:vAlign w:val="center"/>
          </w:tcPr>
          <w:p>
            <w:pPr>
              <w:pStyle w:val="Normal"/>
              <w:snapToGrid w:val="false"/>
              <w:spacing w:lineRule="auto" w:line="360"/>
              <w:jc w:val="center"/>
              <w:rPr>
                <w:rFonts w:ascii="Calibri" w:hAnsi="Calibri"/>
              </w:rPr>
            </w:pPr>
            <w:r>
              <w:rPr>
                <w:rFonts w:ascii="Calibri" w:hAnsi="Calibri"/>
              </w:rPr>
              <w:t>35</w:t>
            </w:r>
          </w:p>
        </w:tc>
        <w:tc>
          <w:tcPr>
            <w:tcW w:w="1877" w:type="dxa"/>
            <w:tcBorders>
              <w:start w:val="single" w:sz="2" w:space="0" w:color="000000"/>
              <w:bottom w:val="single" w:sz="2" w:space="0" w:color="000000"/>
              <w:end w:val="single" w:sz="2" w:space="0" w:color="000000"/>
            </w:tcBorders>
            <w:shd w:fill="FFBF00" w:val="clear"/>
            <w:vAlign w:val="center"/>
          </w:tcPr>
          <w:p>
            <w:pPr>
              <w:pStyle w:val="Normal"/>
              <w:snapToGrid w:val="false"/>
              <w:spacing w:lineRule="auto" w:line="360"/>
              <w:jc w:val="center"/>
              <w:rPr>
                <w:rFonts w:ascii="Calibri" w:hAnsi="Calibri"/>
                <w:b/>
                <w:bCs/>
              </w:rPr>
            </w:pPr>
            <w:r>
              <w:rPr>
                <w:rFonts w:ascii="Calibri" w:hAnsi="Calibri"/>
                <w:b/>
                <w:bCs/>
              </w:rPr>
              <w:t>23 173,00 zł</w:t>
            </w:r>
          </w:p>
        </w:tc>
      </w:tr>
      <w:tr>
        <w:trPr>
          <w:trHeight w:val="404" w:hRule="exact"/>
        </w:trPr>
        <w:tc>
          <w:tcPr>
            <w:tcW w:w="5153" w:type="dxa"/>
            <w:tcBorders>
              <w:start w:val="single" w:sz="2" w:space="0" w:color="000000"/>
              <w:bottom w:val="single" w:sz="2" w:space="0" w:color="000000"/>
            </w:tcBorders>
            <w:shd w:fill="E6E905" w:val="clear"/>
            <w:vAlign w:val="center"/>
          </w:tcPr>
          <w:p>
            <w:pPr>
              <w:pStyle w:val="Normal"/>
              <w:snapToGrid w:val="false"/>
              <w:spacing w:lineRule="auto" w:line="360"/>
              <w:jc w:val="center"/>
              <w:rPr>
                <w:rFonts w:ascii="Calibri" w:hAnsi="Calibri"/>
              </w:rPr>
            </w:pPr>
            <w:r>
              <w:rPr>
                <w:rFonts w:ascii="Calibri" w:hAnsi="Calibri"/>
              </w:rPr>
              <w:t>usługi sąsiedzkie</w:t>
            </w:r>
          </w:p>
        </w:tc>
        <w:tc>
          <w:tcPr>
            <w:tcW w:w="2155" w:type="dxa"/>
            <w:tcBorders>
              <w:start w:val="single" w:sz="2" w:space="0" w:color="000000"/>
              <w:bottom w:val="single" w:sz="2" w:space="0" w:color="000000"/>
            </w:tcBorders>
            <w:shd w:fill="ACB20C" w:val="clear"/>
            <w:vAlign w:val="center"/>
          </w:tcPr>
          <w:p>
            <w:pPr>
              <w:pStyle w:val="Normal"/>
              <w:snapToGrid w:val="false"/>
              <w:spacing w:lineRule="auto" w:line="360"/>
              <w:jc w:val="center"/>
              <w:rPr>
                <w:rFonts w:ascii="Calibri" w:hAnsi="Calibri"/>
              </w:rPr>
            </w:pPr>
            <w:r>
              <w:rPr>
                <w:rFonts w:ascii="Calibri" w:hAnsi="Calibri"/>
              </w:rPr>
              <w:t>5</w:t>
            </w:r>
          </w:p>
        </w:tc>
        <w:tc>
          <w:tcPr>
            <w:tcW w:w="1877" w:type="dxa"/>
            <w:tcBorders>
              <w:start w:val="single" w:sz="2" w:space="0" w:color="000000"/>
              <w:bottom w:val="single" w:sz="2" w:space="0" w:color="000000"/>
              <w:end w:val="single" w:sz="2" w:space="0" w:color="000000"/>
            </w:tcBorders>
            <w:shd w:fill="FFBF00" w:val="clear"/>
            <w:vAlign w:val="center"/>
          </w:tcPr>
          <w:p>
            <w:pPr>
              <w:pStyle w:val="Normal"/>
              <w:snapToGrid w:val="false"/>
              <w:spacing w:lineRule="auto" w:line="360"/>
              <w:jc w:val="center"/>
              <w:rPr>
                <w:rFonts w:ascii="Calibri" w:hAnsi="Calibri"/>
                <w:b/>
                <w:bCs/>
              </w:rPr>
            </w:pPr>
            <w:r>
              <w:rPr>
                <w:rFonts w:ascii="Calibri" w:hAnsi="Calibri"/>
                <w:b/>
                <w:bCs/>
              </w:rPr>
              <w:t>7 103,00 zł</w:t>
            </w:r>
          </w:p>
        </w:tc>
      </w:tr>
      <w:tr>
        <w:trPr>
          <w:trHeight w:val="761" w:hRule="exact"/>
        </w:trPr>
        <w:tc>
          <w:tcPr>
            <w:tcW w:w="5153" w:type="dxa"/>
            <w:tcBorders>
              <w:start w:val="single" w:sz="2" w:space="0" w:color="000000"/>
              <w:bottom w:val="single" w:sz="2" w:space="0" w:color="000000"/>
            </w:tcBorders>
            <w:shd w:fill="E6E905" w:val="clear"/>
            <w:vAlign w:val="center"/>
          </w:tcPr>
          <w:p>
            <w:pPr>
              <w:pStyle w:val="Normal"/>
              <w:snapToGrid w:val="false"/>
              <w:jc w:val="center"/>
              <w:rPr>
                <w:rFonts w:ascii="Calibri" w:hAnsi="Calibri"/>
              </w:rPr>
            </w:pPr>
            <w:r>
              <w:rPr>
                <w:rFonts w:ascii="Calibri" w:hAnsi="Calibri"/>
              </w:rPr>
              <w:t>potwierdzenie prawa do świadczenia zdrowotnego na okres 90 dni</w:t>
            </w:r>
          </w:p>
        </w:tc>
        <w:tc>
          <w:tcPr>
            <w:tcW w:w="2155" w:type="dxa"/>
            <w:tcBorders>
              <w:start w:val="single" w:sz="2" w:space="0" w:color="000000"/>
              <w:bottom w:val="single" w:sz="2" w:space="0" w:color="000000"/>
            </w:tcBorders>
            <w:shd w:fill="ACB20C" w:val="clear"/>
            <w:vAlign w:val="center"/>
          </w:tcPr>
          <w:p>
            <w:pPr>
              <w:pStyle w:val="Normal"/>
              <w:snapToGrid w:val="false"/>
              <w:spacing w:lineRule="auto" w:line="360"/>
              <w:jc w:val="center"/>
              <w:rPr>
                <w:rFonts w:ascii="Calibri" w:hAnsi="Calibri"/>
              </w:rPr>
            </w:pPr>
            <w:r>
              <w:rPr>
                <w:rFonts w:ascii="Calibri" w:hAnsi="Calibri"/>
              </w:rPr>
              <w:t>86</w:t>
            </w:r>
          </w:p>
        </w:tc>
        <w:tc>
          <w:tcPr>
            <w:tcW w:w="1877" w:type="dxa"/>
            <w:tcBorders>
              <w:start w:val="single" w:sz="2" w:space="0" w:color="000000"/>
              <w:bottom w:val="single" w:sz="2" w:space="0" w:color="000000"/>
              <w:end w:val="single" w:sz="2" w:space="0" w:color="000000"/>
            </w:tcBorders>
            <w:shd w:fill="FFBF00" w:val="clear"/>
            <w:vAlign w:val="center"/>
          </w:tcPr>
          <w:p>
            <w:pPr>
              <w:pStyle w:val="Normal"/>
              <w:snapToGrid w:val="false"/>
              <w:spacing w:lineRule="auto" w:line="360"/>
              <w:jc w:val="center"/>
              <w:rPr>
                <w:rFonts w:ascii="Calibri" w:hAnsi="Calibri"/>
                <w:b/>
                <w:bCs/>
              </w:rPr>
            </w:pPr>
            <w:r>
              <w:rPr>
                <w:rFonts w:ascii="Calibri" w:hAnsi="Calibri"/>
                <w:b/>
                <w:bCs/>
              </w:rPr>
              <w:t>0,00 zł</w:t>
            </w:r>
          </w:p>
        </w:tc>
      </w:tr>
      <w:tr>
        <w:trPr>
          <w:trHeight w:val="824" w:hRule="exact"/>
        </w:trPr>
        <w:tc>
          <w:tcPr>
            <w:tcW w:w="5153" w:type="dxa"/>
            <w:tcBorders>
              <w:start w:val="single" w:sz="2" w:space="0" w:color="000000"/>
              <w:bottom w:val="single" w:sz="2" w:space="0" w:color="000000"/>
            </w:tcBorders>
            <w:shd w:fill="E6E905" w:val="clear"/>
            <w:vAlign w:val="center"/>
          </w:tcPr>
          <w:p>
            <w:pPr>
              <w:pStyle w:val="Normal"/>
              <w:snapToGrid w:val="false"/>
              <w:jc w:val="center"/>
              <w:rPr>
                <w:rFonts w:ascii="Calibri" w:hAnsi="Calibri" w:eastAsia="TimesNewRomanPS-BoldMT" w:cs="TimesNewRomanPS-BoldMT"/>
              </w:rPr>
            </w:pPr>
            <w:r>
              <w:rPr>
                <w:rFonts w:eastAsia="TimesNewRomanPS-BoldMT" w:cs="TimesNewRomanPS-BoldMT" w:ascii="Calibri" w:hAnsi="Calibri"/>
              </w:rPr>
              <w:t>opłacenie posiłków dla  dzieci w żłobku, przedszkolu, szkole</w:t>
            </w:r>
          </w:p>
        </w:tc>
        <w:tc>
          <w:tcPr>
            <w:tcW w:w="2155" w:type="dxa"/>
            <w:tcBorders>
              <w:start w:val="single" w:sz="2" w:space="0" w:color="000000"/>
              <w:bottom w:val="single" w:sz="2" w:space="0" w:color="000000"/>
            </w:tcBorders>
            <w:shd w:fill="ACB20C" w:val="clear"/>
            <w:vAlign w:val="center"/>
          </w:tcPr>
          <w:p>
            <w:pPr>
              <w:pStyle w:val="Normal"/>
              <w:snapToGrid w:val="false"/>
              <w:spacing w:lineRule="auto" w:line="360"/>
              <w:jc w:val="center"/>
              <w:rPr/>
            </w:pPr>
            <w:r>
              <w:rPr>
                <w:rStyle w:val="Domylnaczcionkaakapitu"/>
                <w:rFonts w:eastAsia="TimesNewRomanPS-BoldMT" w:cs="TimesNewRomanPS-BoldMT" w:ascii="Calibri" w:hAnsi="Calibri"/>
              </w:rPr>
              <w:t>355</w:t>
            </w:r>
          </w:p>
        </w:tc>
        <w:tc>
          <w:tcPr>
            <w:tcW w:w="1877" w:type="dxa"/>
            <w:tcBorders>
              <w:start w:val="single" w:sz="2" w:space="0" w:color="000000"/>
              <w:bottom w:val="single" w:sz="2" w:space="0" w:color="000000"/>
              <w:end w:val="single" w:sz="2" w:space="0" w:color="000000"/>
            </w:tcBorders>
            <w:shd w:fill="FFBF00" w:val="clear"/>
            <w:vAlign w:val="center"/>
          </w:tcPr>
          <w:p>
            <w:pPr>
              <w:pStyle w:val="Normal"/>
              <w:snapToGrid w:val="false"/>
              <w:spacing w:lineRule="auto" w:line="360" w:before="114" w:after="114"/>
              <w:jc w:val="center"/>
              <w:rPr>
                <w:rFonts w:ascii="Calibri" w:hAnsi="Calibri" w:eastAsia="TimesNewRomanPS-BoldMT" w:cs="TimesNewRomanPS-BoldMT"/>
                <w:b/>
                <w:bCs/>
              </w:rPr>
            </w:pPr>
            <w:r>
              <w:rPr>
                <w:rFonts w:eastAsia="TimesNewRomanPS-BoldMT" w:cs="TimesNewRomanPS-BoldMT" w:ascii="Calibri" w:hAnsi="Calibri"/>
                <w:b/>
                <w:bCs/>
              </w:rPr>
              <w:t>218 431,50 zł</w:t>
            </w:r>
          </w:p>
        </w:tc>
      </w:tr>
      <w:tr>
        <w:trPr>
          <w:trHeight w:val="431" w:hRule="exact"/>
        </w:trPr>
        <w:tc>
          <w:tcPr>
            <w:tcW w:w="5153" w:type="dxa"/>
            <w:tcBorders>
              <w:start w:val="single" w:sz="2" w:space="0" w:color="000000"/>
              <w:bottom w:val="single" w:sz="2" w:space="0" w:color="000000"/>
            </w:tcBorders>
            <w:shd w:fill="E6E905" w:val="clear"/>
            <w:vAlign w:val="center"/>
          </w:tcPr>
          <w:p>
            <w:pPr>
              <w:pStyle w:val="Normal"/>
              <w:autoSpaceDE w:val="false"/>
              <w:snapToGrid w:val="false"/>
              <w:spacing w:lineRule="auto" w:line="360"/>
              <w:jc w:val="center"/>
              <w:rPr>
                <w:rFonts w:ascii="Calibri" w:hAnsi="Calibri" w:eastAsia="TimesNewRomanPS-BoldMT" w:cs="TimesNewRomanPS-BoldMT"/>
              </w:rPr>
            </w:pPr>
            <w:r>
              <w:rPr>
                <w:rFonts w:eastAsia="TimesNewRomanPS-BoldMT" w:cs="TimesNewRomanPS-BoldMT" w:ascii="Calibri" w:hAnsi="Calibri"/>
              </w:rPr>
              <w:t>opłacenie posiłków dla osób dorosłych</w:t>
            </w:r>
          </w:p>
        </w:tc>
        <w:tc>
          <w:tcPr>
            <w:tcW w:w="2155" w:type="dxa"/>
            <w:tcBorders>
              <w:start w:val="single" w:sz="2" w:space="0" w:color="000000"/>
              <w:bottom w:val="single" w:sz="2" w:space="0" w:color="000000"/>
            </w:tcBorders>
            <w:shd w:fill="ACB20C" w:val="clear"/>
            <w:vAlign w:val="center"/>
          </w:tcPr>
          <w:p>
            <w:pPr>
              <w:pStyle w:val="Normal"/>
              <w:autoSpaceDE w:val="false"/>
              <w:snapToGrid w:val="false"/>
              <w:spacing w:lineRule="auto" w:line="360"/>
              <w:jc w:val="center"/>
              <w:rPr>
                <w:rFonts w:ascii="Calibri" w:hAnsi="Calibri" w:eastAsia="TimesNewRomanPS-BoldMT" w:cs="TimesNewRomanPS-BoldMT"/>
              </w:rPr>
            </w:pPr>
            <w:r>
              <w:rPr>
                <w:rFonts w:eastAsia="TimesNewRomanPS-BoldMT" w:cs="TimesNewRomanPS-BoldMT" w:ascii="Calibri" w:hAnsi="Calibri"/>
              </w:rPr>
              <w:t>168</w:t>
            </w:r>
          </w:p>
        </w:tc>
        <w:tc>
          <w:tcPr>
            <w:tcW w:w="1877" w:type="dxa"/>
            <w:tcBorders>
              <w:start w:val="single" w:sz="2" w:space="0" w:color="000000"/>
              <w:bottom w:val="single" w:sz="2" w:space="0" w:color="000000"/>
              <w:end w:val="single" w:sz="2" w:space="0" w:color="000000"/>
            </w:tcBorders>
            <w:shd w:fill="FFBF00" w:val="clear"/>
            <w:vAlign w:val="center"/>
          </w:tcPr>
          <w:p>
            <w:pPr>
              <w:pStyle w:val="Normal"/>
              <w:autoSpaceDE w:val="false"/>
              <w:snapToGrid w:val="false"/>
              <w:spacing w:lineRule="auto" w:line="360"/>
              <w:jc w:val="center"/>
              <w:rPr>
                <w:rFonts w:ascii="Calibri" w:hAnsi="Calibri" w:eastAsia="TimesNewRomanPS-BoldMT" w:cs="TimesNewRomanPS-BoldMT"/>
                <w:b/>
                <w:bCs/>
              </w:rPr>
            </w:pPr>
            <w:r>
              <w:rPr>
                <w:rFonts w:eastAsia="TimesNewRomanPS-BoldMT" w:cs="TimesNewRomanPS-BoldMT" w:ascii="Calibri" w:hAnsi="Calibri"/>
                <w:b/>
                <w:bCs/>
              </w:rPr>
              <w:t>961 879,02 zł</w:t>
            </w:r>
          </w:p>
        </w:tc>
      </w:tr>
      <w:tr>
        <w:trPr>
          <w:trHeight w:val="450" w:hRule="exact"/>
        </w:trPr>
        <w:tc>
          <w:tcPr>
            <w:tcW w:w="5153" w:type="dxa"/>
            <w:tcBorders>
              <w:start w:val="single" w:sz="2" w:space="0" w:color="000000"/>
              <w:bottom w:val="single" w:sz="2" w:space="0" w:color="000000"/>
            </w:tcBorders>
            <w:shd w:fill="E6E905" w:val="clear"/>
            <w:vAlign w:val="center"/>
          </w:tcPr>
          <w:p>
            <w:pPr>
              <w:pStyle w:val="Normal"/>
              <w:autoSpaceDE w:val="false"/>
              <w:snapToGrid w:val="false"/>
              <w:spacing w:lineRule="auto" w:line="276"/>
              <w:jc w:val="center"/>
              <w:rPr/>
            </w:pPr>
            <w:r>
              <w:rPr>
                <w:rStyle w:val="Strong"/>
                <w:rFonts w:eastAsia="TimesNewRomanPS-BoldMT" w:cs="TimesNewRomanPS-BoldMT" w:ascii="Calibri" w:hAnsi="Calibri"/>
                <w:b w:val="false"/>
              </w:rPr>
              <w:t>zasiłek celowy na zakup artykułów żywnościowych</w:t>
            </w:r>
          </w:p>
        </w:tc>
        <w:tc>
          <w:tcPr>
            <w:tcW w:w="2155" w:type="dxa"/>
            <w:tcBorders>
              <w:start w:val="single" w:sz="2" w:space="0" w:color="000000"/>
              <w:bottom w:val="single" w:sz="2" w:space="0" w:color="000000"/>
            </w:tcBorders>
            <w:shd w:fill="ACB20C" w:val="clear"/>
            <w:vAlign w:val="center"/>
          </w:tcPr>
          <w:p>
            <w:pPr>
              <w:pStyle w:val="Normal"/>
              <w:autoSpaceDE w:val="false"/>
              <w:snapToGrid w:val="false"/>
              <w:spacing w:lineRule="auto" w:line="360"/>
              <w:jc w:val="center"/>
              <w:rPr>
                <w:rFonts w:ascii="Calibri" w:hAnsi="Calibri" w:eastAsia="TimesNewRomanPS-BoldMT" w:cs="TimesNewRomanPS-BoldMT"/>
              </w:rPr>
            </w:pPr>
            <w:r>
              <w:rPr>
                <w:rFonts w:eastAsia="TimesNewRomanPS-BoldMT" w:cs="TimesNewRomanPS-BoldMT" w:ascii="Calibri" w:hAnsi="Calibri"/>
              </w:rPr>
              <w:t>307</w:t>
            </w:r>
          </w:p>
        </w:tc>
        <w:tc>
          <w:tcPr>
            <w:tcW w:w="1877" w:type="dxa"/>
            <w:tcBorders>
              <w:start w:val="single" w:sz="2" w:space="0" w:color="000000"/>
              <w:bottom w:val="single" w:sz="2" w:space="0" w:color="000000"/>
              <w:end w:val="single" w:sz="2" w:space="0" w:color="000000"/>
            </w:tcBorders>
            <w:shd w:fill="FFBF00" w:val="clear"/>
            <w:vAlign w:val="center"/>
          </w:tcPr>
          <w:p>
            <w:pPr>
              <w:pStyle w:val="Normal"/>
              <w:autoSpaceDE w:val="false"/>
              <w:snapToGrid w:val="false"/>
              <w:spacing w:lineRule="auto" w:line="360"/>
              <w:jc w:val="center"/>
              <w:rPr>
                <w:rFonts w:ascii="Calibri" w:hAnsi="Calibri" w:eastAsia="TimesNewRomanPS-BoldMT" w:cs="TimesNewRomanPS-BoldMT"/>
                <w:b/>
                <w:bCs/>
              </w:rPr>
            </w:pPr>
            <w:r>
              <w:rPr>
                <w:rFonts w:eastAsia="TimesNewRomanPS-BoldMT" w:cs="TimesNewRomanPS-BoldMT" w:ascii="Calibri" w:hAnsi="Calibri"/>
                <w:b/>
                <w:bCs/>
              </w:rPr>
              <w:t>219 240,00 zł</w:t>
            </w:r>
          </w:p>
        </w:tc>
      </w:tr>
      <w:tr>
        <w:trPr>
          <w:trHeight w:val="718" w:hRule="exact"/>
        </w:trPr>
        <w:tc>
          <w:tcPr>
            <w:tcW w:w="5153" w:type="dxa"/>
            <w:tcBorders>
              <w:start w:val="single" w:sz="2" w:space="0" w:color="000000"/>
              <w:bottom w:val="single" w:sz="2" w:space="0" w:color="000000"/>
            </w:tcBorders>
            <w:shd w:fill="E6E905" w:val="clear"/>
            <w:vAlign w:val="center"/>
          </w:tcPr>
          <w:p>
            <w:pPr>
              <w:pStyle w:val="Normal"/>
              <w:snapToGrid w:val="false"/>
              <w:jc w:val="center"/>
              <w:rPr/>
            </w:pPr>
            <w:r>
              <w:rPr>
                <w:rStyle w:val="Domylnaczcionkaakapitu"/>
                <w:rFonts w:ascii="Calibri" w:hAnsi="Calibri"/>
              </w:rPr>
              <w:t>wypłata należnych wynagrodzeń</w:t>
            </w:r>
            <w:r>
              <w:rPr>
                <w:rStyle w:val="Domylnaczcionkaakapitu"/>
                <w:rFonts w:ascii="Calibri" w:hAnsi="Calibri"/>
                <w:b/>
                <w:bCs/>
              </w:rPr>
              <w:t xml:space="preserve"> </w:t>
            </w:r>
            <w:r>
              <w:rPr>
                <w:rStyle w:val="Domylnaczcionkaakapitu"/>
                <w:rFonts w:ascii="Calibri" w:hAnsi="Calibri"/>
              </w:rPr>
              <w:t>opiekunowi z tytułu sprawowania opieki przyznanej przez sąd</w:t>
            </w:r>
          </w:p>
        </w:tc>
        <w:tc>
          <w:tcPr>
            <w:tcW w:w="2155" w:type="dxa"/>
            <w:tcBorders>
              <w:start w:val="single" w:sz="2" w:space="0" w:color="000000"/>
              <w:bottom w:val="single" w:sz="2" w:space="0" w:color="000000"/>
            </w:tcBorders>
            <w:shd w:fill="ACB20C" w:val="clear"/>
            <w:vAlign w:val="center"/>
          </w:tcPr>
          <w:p>
            <w:pPr>
              <w:pStyle w:val="Normal"/>
              <w:snapToGrid w:val="false"/>
              <w:spacing w:lineRule="auto" w:line="360"/>
              <w:jc w:val="center"/>
              <w:rPr>
                <w:rFonts w:ascii="Calibri" w:hAnsi="Calibri"/>
              </w:rPr>
            </w:pPr>
            <w:r>
              <w:rPr>
                <w:rFonts w:ascii="Calibri" w:hAnsi="Calibri"/>
              </w:rPr>
              <w:t>12</w:t>
            </w:r>
          </w:p>
        </w:tc>
        <w:tc>
          <w:tcPr>
            <w:tcW w:w="1877" w:type="dxa"/>
            <w:tcBorders>
              <w:start w:val="single" w:sz="2" w:space="0" w:color="000000"/>
              <w:bottom w:val="single" w:sz="2" w:space="0" w:color="000000"/>
              <w:end w:val="single" w:sz="2" w:space="0" w:color="000000"/>
            </w:tcBorders>
            <w:shd w:fill="FFBF00" w:val="clear"/>
            <w:vAlign w:val="center"/>
          </w:tcPr>
          <w:p>
            <w:pPr>
              <w:pStyle w:val="Normal"/>
              <w:snapToGrid w:val="false"/>
              <w:spacing w:lineRule="auto" w:line="360" w:before="114" w:after="114"/>
              <w:jc w:val="center"/>
              <w:rPr>
                <w:rFonts w:ascii="Calibri" w:hAnsi="Calibri"/>
                <w:b/>
                <w:bCs/>
              </w:rPr>
            </w:pPr>
            <w:r>
              <w:rPr>
                <w:rFonts w:ascii="Calibri" w:hAnsi="Calibri"/>
                <w:b/>
                <w:bCs/>
              </w:rPr>
              <w:t>75 527,70 zł</w:t>
            </w:r>
          </w:p>
        </w:tc>
      </w:tr>
      <w:tr>
        <w:trPr>
          <w:trHeight w:val="681" w:hRule="exact"/>
        </w:trPr>
        <w:tc>
          <w:tcPr>
            <w:tcW w:w="5153" w:type="dxa"/>
            <w:tcBorders>
              <w:start w:val="single" w:sz="2" w:space="0" w:color="000000"/>
              <w:bottom w:val="single" w:sz="2" w:space="0" w:color="000000"/>
            </w:tcBorders>
            <w:shd w:fill="E6E905" w:val="clear"/>
            <w:vAlign w:val="center"/>
          </w:tcPr>
          <w:p>
            <w:pPr>
              <w:pStyle w:val="Normal"/>
              <w:snapToGrid w:val="false"/>
              <w:jc w:val="center"/>
              <w:rPr/>
            </w:pPr>
            <w:r>
              <w:rPr>
                <w:rStyle w:val="Domylnaczcionkaakapitu"/>
                <w:rFonts w:ascii="Calibri" w:hAnsi="Calibri"/>
              </w:rPr>
              <w:t xml:space="preserve">poniesione wydatki na opłacenie  pobytu </w:t>
            </w:r>
            <w:r>
              <w:rPr>
                <w:rStyle w:val="Domylnaczcionkaakapitu"/>
                <w:rFonts w:eastAsia="TimesNewRomanPS-BoldMT" w:cs="TimesNewRomanPS-BoldMT" w:ascii="Calibri" w:hAnsi="Calibri"/>
              </w:rPr>
              <w:t>dzieci w pieczy zastępczej</w:t>
            </w:r>
          </w:p>
        </w:tc>
        <w:tc>
          <w:tcPr>
            <w:tcW w:w="2155" w:type="dxa"/>
            <w:tcBorders>
              <w:start w:val="single" w:sz="2" w:space="0" w:color="000000"/>
              <w:bottom w:val="single" w:sz="2" w:space="0" w:color="000000"/>
            </w:tcBorders>
            <w:shd w:fill="ACB20C" w:val="clear"/>
            <w:vAlign w:val="center"/>
          </w:tcPr>
          <w:p>
            <w:pPr>
              <w:pStyle w:val="Normal"/>
              <w:autoSpaceDE w:val="false"/>
              <w:snapToGrid w:val="false"/>
              <w:spacing w:lineRule="auto" w:line="360"/>
              <w:jc w:val="center"/>
              <w:rPr>
                <w:rFonts w:ascii="Calibri" w:hAnsi="Calibri" w:eastAsia="TimesNewRomanPS-BoldMT" w:cs="TimesNewRomanPS-BoldMT"/>
              </w:rPr>
            </w:pPr>
            <w:r>
              <w:rPr>
                <w:rFonts w:eastAsia="TimesNewRomanPS-BoldMT" w:cs="TimesNewRomanPS-BoldMT" w:ascii="Calibri" w:hAnsi="Calibri"/>
              </w:rPr>
              <w:t>162</w:t>
            </w:r>
          </w:p>
        </w:tc>
        <w:tc>
          <w:tcPr>
            <w:tcW w:w="1877" w:type="dxa"/>
            <w:tcBorders>
              <w:start w:val="single" w:sz="2" w:space="0" w:color="000000"/>
              <w:bottom w:val="single" w:sz="2" w:space="0" w:color="000000"/>
              <w:end w:val="single" w:sz="2" w:space="0" w:color="000000"/>
            </w:tcBorders>
            <w:shd w:fill="FFBF00" w:val="clear"/>
            <w:vAlign w:val="center"/>
          </w:tcPr>
          <w:p>
            <w:pPr>
              <w:pStyle w:val="Normal"/>
              <w:autoSpaceDE w:val="false"/>
              <w:snapToGrid w:val="false"/>
              <w:spacing w:lineRule="auto" w:line="360"/>
              <w:jc w:val="center"/>
              <w:rPr>
                <w:rFonts w:ascii="Calibri" w:hAnsi="Calibri" w:eastAsia="TimesNewRomanPS-BoldMT" w:cs="TimesNewRomanPS-BoldMT"/>
                <w:b/>
                <w:bCs/>
                <w:color w:val="000000"/>
              </w:rPr>
            </w:pPr>
            <w:r>
              <w:rPr>
                <w:rFonts w:eastAsia="TimesNewRomanPS-BoldMT" w:cs="TimesNewRomanPS-BoldMT" w:ascii="Calibri" w:hAnsi="Calibri"/>
                <w:b/>
                <w:bCs/>
                <w:color w:val="000000"/>
              </w:rPr>
              <w:t>2 099 404,91 zł</w:t>
            </w:r>
          </w:p>
        </w:tc>
      </w:tr>
      <w:tr>
        <w:trPr>
          <w:trHeight w:val="392" w:hRule="exact"/>
        </w:trPr>
        <w:tc>
          <w:tcPr>
            <w:tcW w:w="5153" w:type="dxa"/>
            <w:tcBorders>
              <w:start w:val="single" w:sz="2" w:space="0" w:color="000000"/>
              <w:bottom w:val="single" w:sz="2" w:space="0" w:color="000000"/>
            </w:tcBorders>
            <w:shd w:fill="E6E905" w:val="clear"/>
            <w:vAlign w:val="center"/>
          </w:tcPr>
          <w:p>
            <w:pPr>
              <w:pStyle w:val="Normal"/>
              <w:snapToGrid w:val="false"/>
              <w:spacing w:lineRule="auto" w:line="360"/>
              <w:jc w:val="center"/>
              <w:rPr>
                <w:rFonts w:ascii="Calibri" w:hAnsi="Calibri"/>
              </w:rPr>
            </w:pPr>
            <w:r>
              <w:rPr>
                <w:rFonts w:ascii="Calibri" w:hAnsi="Calibri"/>
              </w:rPr>
              <w:t>dodatki mieszkaniowe</w:t>
            </w:r>
          </w:p>
        </w:tc>
        <w:tc>
          <w:tcPr>
            <w:tcW w:w="2155" w:type="dxa"/>
            <w:tcBorders>
              <w:start w:val="single" w:sz="2" w:space="0" w:color="000000"/>
              <w:bottom w:val="single" w:sz="2" w:space="0" w:color="000000"/>
            </w:tcBorders>
            <w:shd w:fill="ACB20C" w:val="clear"/>
            <w:vAlign w:val="center"/>
          </w:tcPr>
          <w:p>
            <w:pPr>
              <w:pStyle w:val="Normal"/>
              <w:autoSpaceDE w:val="false"/>
              <w:snapToGrid w:val="false"/>
              <w:spacing w:lineRule="auto" w:line="360"/>
              <w:jc w:val="center"/>
              <w:rPr>
                <w:rFonts w:ascii="Calibri" w:hAnsi="Calibri" w:eastAsia="TimesNewRomanPS-BoldMT" w:cs="TimesNewRomanPS-BoldMT"/>
                <w:color w:val="000000"/>
              </w:rPr>
            </w:pPr>
            <w:r>
              <w:rPr>
                <w:rFonts w:eastAsia="TimesNewRomanPS-BoldMT" w:cs="TimesNewRomanPS-BoldMT" w:ascii="Calibri" w:hAnsi="Calibri"/>
                <w:color w:val="000000"/>
              </w:rPr>
              <w:t>1 813</w:t>
            </w:r>
          </w:p>
        </w:tc>
        <w:tc>
          <w:tcPr>
            <w:tcW w:w="1877" w:type="dxa"/>
            <w:tcBorders>
              <w:start w:val="single" w:sz="2" w:space="0" w:color="000000"/>
              <w:bottom w:val="single" w:sz="2" w:space="0" w:color="000000"/>
              <w:end w:val="single" w:sz="2" w:space="0" w:color="000000"/>
            </w:tcBorders>
            <w:shd w:fill="FFBF00" w:val="clear"/>
            <w:vAlign w:val="center"/>
          </w:tcPr>
          <w:p>
            <w:pPr>
              <w:pStyle w:val="Normal"/>
              <w:autoSpaceDE w:val="false"/>
              <w:snapToGrid w:val="false"/>
              <w:spacing w:lineRule="auto" w:line="360"/>
              <w:jc w:val="center"/>
              <w:rPr>
                <w:rFonts w:ascii="Calibri" w:hAnsi="Calibri" w:eastAsia="TimesNewRomanPS-BoldMT" w:cs="TimesNewRomanPS-BoldMT"/>
                <w:b/>
                <w:bCs/>
                <w:color w:val="000000"/>
              </w:rPr>
            </w:pPr>
            <w:r>
              <w:rPr>
                <w:rFonts w:eastAsia="TimesNewRomanPS-BoldMT" w:cs="TimesNewRomanPS-BoldMT" w:ascii="Calibri" w:hAnsi="Calibri"/>
                <w:b/>
                <w:bCs/>
                <w:color w:val="000000"/>
              </w:rPr>
              <w:t>3 250 324,01 zł</w:t>
            </w:r>
          </w:p>
        </w:tc>
      </w:tr>
      <w:tr>
        <w:trPr>
          <w:trHeight w:val="392" w:hRule="exact"/>
        </w:trPr>
        <w:tc>
          <w:tcPr>
            <w:tcW w:w="5153" w:type="dxa"/>
            <w:tcBorders>
              <w:start w:val="single" w:sz="2" w:space="0" w:color="000000"/>
              <w:bottom w:val="single" w:sz="2" w:space="0" w:color="000000"/>
            </w:tcBorders>
            <w:shd w:fill="E6E905" w:val="clear"/>
            <w:vAlign w:val="center"/>
          </w:tcPr>
          <w:p>
            <w:pPr>
              <w:pStyle w:val="Normal"/>
              <w:snapToGrid w:val="false"/>
              <w:spacing w:lineRule="auto" w:line="360"/>
              <w:jc w:val="center"/>
              <w:rPr>
                <w:rFonts w:ascii="Calibri" w:hAnsi="Calibri"/>
              </w:rPr>
            </w:pPr>
            <w:r>
              <w:rPr>
                <w:rFonts w:ascii="Calibri" w:hAnsi="Calibri"/>
              </w:rPr>
              <w:t>stypendia szkolne</w:t>
            </w:r>
          </w:p>
        </w:tc>
        <w:tc>
          <w:tcPr>
            <w:tcW w:w="2155" w:type="dxa"/>
            <w:tcBorders>
              <w:start w:val="single" w:sz="2" w:space="0" w:color="000000"/>
              <w:bottom w:val="single" w:sz="2" w:space="0" w:color="000000"/>
            </w:tcBorders>
            <w:shd w:fill="ACB20C" w:val="clear"/>
            <w:vAlign w:val="center"/>
          </w:tcPr>
          <w:p>
            <w:pPr>
              <w:pStyle w:val="Normal"/>
              <w:autoSpaceDE w:val="false"/>
              <w:snapToGrid w:val="false"/>
              <w:spacing w:lineRule="auto" w:line="360"/>
              <w:jc w:val="center"/>
              <w:rPr>
                <w:rFonts w:ascii="Calibri" w:hAnsi="Calibri" w:eastAsia="TimesNewRomanPS-BoldMT" w:cs="TimesNewRomanPS-BoldMT"/>
                <w:color w:val="000000"/>
              </w:rPr>
            </w:pPr>
            <w:r>
              <w:rPr>
                <w:rFonts w:eastAsia="TimesNewRomanPS-BoldMT" w:cs="TimesNewRomanPS-BoldMT" w:ascii="Calibri" w:hAnsi="Calibri"/>
                <w:color w:val="000000"/>
              </w:rPr>
              <w:t>176</w:t>
            </w:r>
          </w:p>
        </w:tc>
        <w:tc>
          <w:tcPr>
            <w:tcW w:w="1877" w:type="dxa"/>
            <w:tcBorders>
              <w:start w:val="single" w:sz="2" w:space="0" w:color="000000"/>
              <w:bottom w:val="single" w:sz="2" w:space="0" w:color="000000"/>
              <w:end w:val="single" w:sz="2" w:space="0" w:color="000000"/>
            </w:tcBorders>
            <w:shd w:fill="FFBF00" w:val="clear"/>
            <w:vAlign w:val="center"/>
          </w:tcPr>
          <w:p>
            <w:pPr>
              <w:pStyle w:val="Normal"/>
              <w:autoSpaceDE w:val="false"/>
              <w:snapToGrid w:val="false"/>
              <w:spacing w:lineRule="auto" w:line="360"/>
              <w:jc w:val="center"/>
              <w:rPr>
                <w:rFonts w:ascii="Calibri" w:hAnsi="Calibri" w:eastAsia="TimesNewRomanPS-BoldMT" w:cs="TimesNewRomanPS-BoldMT"/>
                <w:b/>
                <w:bCs/>
                <w:color w:val="000000"/>
              </w:rPr>
            </w:pPr>
            <w:r>
              <w:rPr>
                <w:rFonts w:eastAsia="TimesNewRomanPS-BoldMT" w:cs="TimesNewRomanPS-BoldMT" w:ascii="Calibri" w:hAnsi="Calibri"/>
                <w:b/>
                <w:bCs/>
                <w:color w:val="000000"/>
              </w:rPr>
              <w:t>165 154,15 zł</w:t>
            </w:r>
          </w:p>
        </w:tc>
      </w:tr>
      <w:tr>
        <w:trPr>
          <w:trHeight w:val="595" w:hRule="exact"/>
        </w:trPr>
        <w:tc>
          <w:tcPr>
            <w:tcW w:w="5153" w:type="dxa"/>
            <w:tcBorders>
              <w:start w:val="single" w:sz="2" w:space="0" w:color="000000"/>
              <w:bottom w:val="single" w:sz="2" w:space="0" w:color="000000"/>
            </w:tcBorders>
            <w:shd w:fill="E6E905" w:val="clear"/>
            <w:vAlign w:val="center"/>
          </w:tcPr>
          <w:p>
            <w:pPr>
              <w:pStyle w:val="Normal"/>
              <w:snapToGrid w:val="false"/>
              <w:spacing w:lineRule="auto" w:line="360"/>
              <w:jc w:val="center"/>
              <w:rPr>
                <w:rFonts w:ascii="Calibri" w:hAnsi="Calibri"/>
              </w:rPr>
            </w:pPr>
            <w:r>
              <w:rPr>
                <w:rFonts w:ascii="Calibri" w:hAnsi="Calibri"/>
              </w:rPr>
              <w:t>zasiłki szkolne</w:t>
            </w:r>
          </w:p>
        </w:tc>
        <w:tc>
          <w:tcPr>
            <w:tcW w:w="2155" w:type="dxa"/>
            <w:tcBorders>
              <w:start w:val="single" w:sz="2" w:space="0" w:color="000000"/>
              <w:bottom w:val="single" w:sz="2" w:space="0" w:color="000000"/>
            </w:tcBorders>
            <w:shd w:fill="ACB20C" w:val="clear"/>
            <w:vAlign w:val="center"/>
          </w:tcPr>
          <w:p>
            <w:pPr>
              <w:pStyle w:val="Normal"/>
              <w:autoSpaceDE w:val="false"/>
              <w:snapToGrid w:val="false"/>
              <w:spacing w:lineRule="auto" w:line="360"/>
              <w:jc w:val="center"/>
              <w:rPr>
                <w:rFonts w:ascii="Calibri" w:hAnsi="Calibri" w:eastAsia="TimesNewRomanPS-BoldMT" w:cs="TimesNewRomanPS-BoldMT"/>
                <w:color w:val="000000"/>
              </w:rPr>
            </w:pPr>
            <w:r>
              <w:rPr>
                <w:rFonts w:eastAsia="TimesNewRomanPS-BoldMT" w:cs="TimesNewRomanPS-BoldMT" w:ascii="Calibri" w:hAnsi="Calibri"/>
                <w:color w:val="000000"/>
              </w:rPr>
              <w:t>4</w:t>
            </w:r>
          </w:p>
        </w:tc>
        <w:tc>
          <w:tcPr>
            <w:tcW w:w="1877" w:type="dxa"/>
            <w:tcBorders>
              <w:start w:val="single" w:sz="2" w:space="0" w:color="000000"/>
              <w:bottom w:val="single" w:sz="2" w:space="0" w:color="000000"/>
              <w:end w:val="single" w:sz="2" w:space="0" w:color="000000"/>
            </w:tcBorders>
            <w:shd w:fill="FFBF00" w:val="clear"/>
            <w:vAlign w:val="center"/>
          </w:tcPr>
          <w:p>
            <w:pPr>
              <w:pStyle w:val="Normal"/>
              <w:autoSpaceDE w:val="false"/>
              <w:snapToGrid w:val="false"/>
              <w:spacing w:lineRule="auto" w:line="360"/>
              <w:jc w:val="center"/>
              <w:rPr>
                <w:rFonts w:ascii="Calibri" w:hAnsi="Calibri" w:eastAsia="TimesNewRomanPS-BoldMT" w:cs="TimesNewRomanPS-BoldMT"/>
                <w:b/>
                <w:bCs/>
                <w:color w:val="000000"/>
              </w:rPr>
            </w:pPr>
            <w:r>
              <w:rPr>
                <w:rFonts w:eastAsia="TimesNewRomanPS-BoldMT" w:cs="TimesNewRomanPS-BoldMT" w:ascii="Calibri" w:hAnsi="Calibri"/>
                <w:b/>
                <w:bCs/>
                <w:color w:val="000000"/>
              </w:rPr>
              <w:t>2 400,00 zł</w:t>
            </w:r>
          </w:p>
        </w:tc>
      </w:tr>
    </w:tbl>
    <w:p>
      <w:pPr>
        <w:pStyle w:val="Normal"/>
        <w:spacing w:lineRule="auto" w:line="360"/>
        <w:jc w:val="both"/>
        <w:rPr/>
      </w:pPr>
      <w:r>
        <w:rPr>
          <w:rStyle w:val="Domylnaczcionkaakapitu"/>
          <w:rFonts w:ascii="Calibri" w:hAnsi="Calibri"/>
        </w:rPr>
        <w:tab/>
      </w:r>
    </w:p>
    <w:p>
      <w:pPr>
        <w:pStyle w:val="Normal"/>
        <w:spacing w:lineRule="auto" w:line="360"/>
        <w:jc w:val="both"/>
        <w:rPr>
          <w:rStyle w:val="Domylnaczcionkaakapitu"/>
          <w:rFonts w:ascii="Calibri" w:hAnsi="Calibri"/>
        </w:rPr>
      </w:pPr>
      <w:r>
        <w:rPr/>
      </w:r>
    </w:p>
    <w:p>
      <w:pPr>
        <w:pStyle w:val="Normal"/>
        <w:spacing w:lineRule="auto" w:line="360"/>
        <w:jc w:val="both"/>
        <w:rPr>
          <w:rStyle w:val="Domylnaczcionkaakapitu"/>
          <w:rFonts w:ascii="Calibri" w:hAnsi="Calibri"/>
        </w:rPr>
      </w:pPr>
      <w:r>
        <w:rPr/>
      </w:r>
    </w:p>
    <w:p>
      <w:pPr>
        <w:pStyle w:val="Normal"/>
        <w:spacing w:lineRule="auto" w:line="360"/>
        <w:jc w:val="both"/>
        <w:rPr>
          <w:rStyle w:val="Domylnaczcionkaakapitu"/>
          <w:rFonts w:ascii="Calibri" w:hAnsi="Calibri"/>
        </w:rPr>
      </w:pPr>
      <w:r>
        <w:rPr/>
      </w:r>
    </w:p>
    <w:p>
      <w:pPr>
        <w:pStyle w:val="Normal"/>
        <w:spacing w:lineRule="auto" w:line="360"/>
        <w:jc w:val="both"/>
        <w:rPr/>
      </w:pPr>
      <w:r>
        <w:rPr>
          <w:rStyle w:val="Domylnaczcionkaakapitu"/>
          <w:rFonts w:ascii="Calibri" w:hAnsi="Calibri"/>
        </w:rPr>
        <w:t>W 2025 roku Sekcja Świadczeń Pomocy Społecznej Działu Pomocy Społecznej wydała</w:t>
      </w:r>
    </w:p>
    <w:p>
      <w:pPr>
        <w:pStyle w:val="Normal"/>
        <w:spacing w:lineRule="auto" w:line="360"/>
        <w:jc w:val="both"/>
        <w:rPr/>
      </w:pPr>
      <w:r>
        <w:rPr>
          <w:rStyle w:val="Domylnaczcionkaakapitu"/>
          <w:rFonts w:ascii="Calibri" w:hAnsi="Calibri"/>
          <w:b/>
          <w:bCs/>
        </w:rPr>
        <w:t>7 521</w:t>
      </w:r>
      <w:r>
        <w:rPr>
          <w:rStyle w:val="Domylnaczcionkaakapitu"/>
          <w:rFonts w:ascii="Calibri" w:hAnsi="Calibri"/>
        </w:rPr>
        <w:t xml:space="preserve"> decyzji administracyjnych w sprawie świadczeń z pomocy społecznej, w tym:</w:t>
      </w:r>
    </w:p>
    <w:tbl>
      <w:tblPr>
        <w:tblW w:w="8784" w:type="dxa"/>
        <w:jc w:val="start"/>
        <w:tblInd w:w="352" w:type="dxa"/>
        <w:tblLayout w:type="fixed"/>
        <w:tblCellMar>
          <w:top w:w="55" w:type="dxa"/>
          <w:start w:w="55" w:type="dxa"/>
          <w:bottom w:w="55" w:type="dxa"/>
          <w:end w:w="55" w:type="dxa"/>
        </w:tblCellMar>
      </w:tblPr>
      <w:tblGrid>
        <w:gridCol w:w="3996"/>
        <w:gridCol w:w="4788"/>
      </w:tblGrid>
      <w:tr>
        <w:trPr/>
        <w:tc>
          <w:tcPr>
            <w:tcW w:w="3996" w:type="dxa"/>
            <w:tcBorders>
              <w:top w:val="single" w:sz="2" w:space="0" w:color="000000"/>
              <w:start w:val="single" w:sz="2" w:space="0" w:color="000000"/>
              <w:bottom w:val="single" w:sz="2" w:space="0" w:color="000000"/>
            </w:tcBorders>
            <w:shd w:fill="FF8000" w:val="clear"/>
            <w:vAlign w:val="center"/>
          </w:tcPr>
          <w:p>
            <w:pPr>
              <w:pStyle w:val="Zawartotabeli"/>
              <w:snapToGrid w:val="false"/>
              <w:spacing w:lineRule="auto" w:line="360"/>
              <w:jc w:val="center"/>
              <w:rPr>
                <w:rFonts w:ascii="Calibri" w:hAnsi="Calibri"/>
                <w:b/>
                <w:bCs/>
              </w:rPr>
            </w:pPr>
            <w:r>
              <w:rPr>
                <w:rFonts w:ascii="Calibri" w:hAnsi="Calibri"/>
                <w:b/>
                <w:bCs/>
              </w:rPr>
              <w:t>Liczba decyzji</w:t>
            </w:r>
          </w:p>
        </w:tc>
        <w:tc>
          <w:tcPr>
            <w:tcW w:w="4788" w:type="dxa"/>
            <w:tcBorders>
              <w:top w:val="single" w:sz="2" w:space="0" w:color="000000"/>
              <w:start w:val="single" w:sz="2" w:space="0" w:color="000000"/>
              <w:bottom w:val="single" w:sz="2" w:space="0" w:color="000000"/>
              <w:end w:val="single" w:sz="2" w:space="0" w:color="000000"/>
            </w:tcBorders>
            <w:shd w:fill="FF8000" w:val="clear"/>
            <w:vAlign w:val="center"/>
          </w:tcPr>
          <w:p>
            <w:pPr>
              <w:pStyle w:val="Zawartotabeli"/>
              <w:snapToGrid w:val="false"/>
              <w:spacing w:lineRule="auto" w:line="360"/>
              <w:jc w:val="center"/>
              <w:rPr>
                <w:rFonts w:ascii="Calibri" w:hAnsi="Calibri"/>
                <w:b/>
                <w:bCs/>
              </w:rPr>
            </w:pPr>
            <w:r>
              <w:rPr>
                <w:rFonts w:ascii="Calibri" w:hAnsi="Calibri"/>
                <w:b/>
                <w:bCs/>
              </w:rPr>
              <w:t>Rodzaj decyzji</w:t>
            </w:r>
          </w:p>
        </w:tc>
      </w:tr>
      <w:tr>
        <w:trPr/>
        <w:tc>
          <w:tcPr>
            <w:tcW w:w="3996" w:type="dxa"/>
            <w:tcBorders>
              <w:start w:val="single" w:sz="2" w:space="0" w:color="000000"/>
              <w:bottom w:val="single" w:sz="2" w:space="0" w:color="000000"/>
            </w:tcBorders>
            <w:shd w:fill="E6E905" w:val="clear"/>
            <w:vAlign w:val="center"/>
          </w:tcPr>
          <w:p>
            <w:pPr>
              <w:pStyle w:val="Zawartotabeli"/>
              <w:snapToGrid w:val="false"/>
              <w:spacing w:lineRule="auto" w:line="360"/>
              <w:jc w:val="center"/>
              <w:rPr>
                <w:rFonts w:ascii="Calibri" w:hAnsi="Calibri"/>
                <w:color w:val="000000"/>
              </w:rPr>
            </w:pPr>
            <w:r>
              <w:rPr>
                <w:rFonts w:ascii="Calibri" w:hAnsi="Calibri"/>
                <w:color w:val="000000"/>
              </w:rPr>
              <w:t>5882</w:t>
            </w:r>
          </w:p>
        </w:tc>
        <w:tc>
          <w:tcPr>
            <w:tcW w:w="4788" w:type="dxa"/>
            <w:tcBorders>
              <w:start w:val="single" w:sz="2" w:space="0" w:color="000000"/>
              <w:bottom w:val="single" w:sz="2" w:space="0" w:color="000000"/>
              <w:end w:val="single" w:sz="2" w:space="0" w:color="000000"/>
            </w:tcBorders>
            <w:shd w:fill="ACB20C" w:val="clear"/>
            <w:vAlign w:val="center"/>
          </w:tcPr>
          <w:p>
            <w:pPr>
              <w:pStyle w:val="Zawartotabeli"/>
              <w:snapToGrid w:val="false"/>
              <w:spacing w:lineRule="auto" w:line="360"/>
              <w:jc w:val="center"/>
              <w:rPr>
                <w:rFonts w:ascii="Calibri" w:hAnsi="Calibri"/>
              </w:rPr>
            </w:pPr>
            <w:r>
              <w:rPr>
                <w:rFonts w:ascii="Calibri" w:hAnsi="Calibri"/>
              </w:rPr>
              <w:t>decyzje przyznające</w:t>
            </w:r>
          </w:p>
        </w:tc>
      </w:tr>
      <w:tr>
        <w:trPr/>
        <w:tc>
          <w:tcPr>
            <w:tcW w:w="3996" w:type="dxa"/>
            <w:tcBorders>
              <w:start w:val="single" w:sz="2" w:space="0" w:color="000000"/>
              <w:bottom w:val="single" w:sz="2" w:space="0" w:color="000000"/>
            </w:tcBorders>
            <w:shd w:fill="E6E905" w:val="clear"/>
            <w:vAlign w:val="center"/>
          </w:tcPr>
          <w:p>
            <w:pPr>
              <w:pStyle w:val="Normal"/>
              <w:snapToGrid w:val="false"/>
              <w:spacing w:lineRule="auto" w:line="360"/>
              <w:jc w:val="center"/>
              <w:rPr>
                <w:rFonts w:ascii="Calibri" w:hAnsi="Calibri"/>
              </w:rPr>
            </w:pPr>
            <w:r>
              <w:rPr>
                <w:rFonts w:ascii="Calibri" w:hAnsi="Calibri"/>
              </w:rPr>
              <w:t>1244</w:t>
            </w:r>
          </w:p>
        </w:tc>
        <w:tc>
          <w:tcPr>
            <w:tcW w:w="4788" w:type="dxa"/>
            <w:tcBorders>
              <w:start w:val="single" w:sz="2" w:space="0" w:color="000000"/>
              <w:bottom w:val="single" w:sz="2" w:space="0" w:color="000000"/>
              <w:end w:val="single" w:sz="2" w:space="0" w:color="000000"/>
            </w:tcBorders>
            <w:shd w:fill="ACB20C" w:val="clear"/>
            <w:vAlign w:val="center"/>
          </w:tcPr>
          <w:p>
            <w:pPr>
              <w:pStyle w:val="Normal"/>
              <w:snapToGrid w:val="false"/>
              <w:spacing w:lineRule="auto" w:line="360"/>
              <w:jc w:val="center"/>
              <w:rPr>
                <w:rFonts w:ascii="Calibri" w:hAnsi="Calibri"/>
              </w:rPr>
            </w:pPr>
            <w:r>
              <w:rPr>
                <w:rFonts w:ascii="Calibri" w:hAnsi="Calibri"/>
              </w:rPr>
              <w:t>decyzje zmieniające</w:t>
            </w:r>
          </w:p>
        </w:tc>
      </w:tr>
      <w:tr>
        <w:trPr>
          <w:trHeight w:val="370" w:hRule="atLeast"/>
        </w:trPr>
        <w:tc>
          <w:tcPr>
            <w:tcW w:w="3996" w:type="dxa"/>
            <w:tcBorders>
              <w:start w:val="single" w:sz="2" w:space="0" w:color="000000"/>
              <w:bottom w:val="single" w:sz="2" w:space="0" w:color="000000"/>
            </w:tcBorders>
            <w:shd w:fill="E6E905" w:val="clear"/>
            <w:vAlign w:val="center"/>
          </w:tcPr>
          <w:p>
            <w:pPr>
              <w:pStyle w:val="Normal"/>
              <w:snapToGrid w:val="false"/>
              <w:spacing w:lineRule="auto" w:line="360"/>
              <w:jc w:val="center"/>
              <w:rPr>
                <w:rFonts w:ascii="Calibri" w:hAnsi="Calibri"/>
              </w:rPr>
            </w:pPr>
            <w:r>
              <w:rPr>
                <w:rFonts w:ascii="Calibri" w:hAnsi="Calibri"/>
              </w:rPr>
              <w:t>158</w:t>
            </w:r>
          </w:p>
        </w:tc>
        <w:tc>
          <w:tcPr>
            <w:tcW w:w="4788" w:type="dxa"/>
            <w:tcBorders>
              <w:start w:val="single" w:sz="2" w:space="0" w:color="000000"/>
              <w:bottom w:val="single" w:sz="2" w:space="0" w:color="000000"/>
              <w:end w:val="single" w:sz="2" w:space="0" w:color="000000"/>
            </w:tcBorders>
            <w:shd w:fill="ACB20C" w:val="clear"/>
            <w:vAlign w:val="center"/>
          </w:tcPr>
          <w:p>
            <w:pPr>
              <w:pStyle w:val="Normal"/>
              <w:snapToGrid w:val="false"/>
              <w:spacing w:lineRule="auto" w:line="360"/>
              <w:jc w:val="center"/>
              <w:rPr>
                <w:rFonts w:ascii="Calibri" w:hAnsi="Calibri"/>
              </w:rPr>
            </w:pPr>
            <w:r>
              <w:rPr>
                <w:rFonts w:ascii="Calibri" w:hAnsi="Calibri"/>
              </w:rPr>
              <w:t>decyzje uchylające</w:t>
            </w:r>
          </w:p>
        </w:tc>
      </w:tr>
      <w:tr>
        <w:trPr/>
        <w:tc>
          <w:tcPr>
            <w:tcW w:w="3996" w:type="dxa"/>
            <w:tcBorders>
              <w:start w:val="single" w:sz="2" w:space="0" w:color="000000"/>
              <w:bottom w:val="single" w:sz="2" w:space="0" w:color="000000"/>
            </w:tcBorders>
            <w:shd w:fill="E6E905" w:val="clear"/>
            <w:vAlign w:val="center"/>
          </w:tcPr>
          <w:p>
            <w:pPr>
              <w:pStyle w:val="Normal"/>
              <w:snapToGrid w:val="false"/>
              <w:spacing w:lineRule="auto" w:line="360"/>
              <w:jc w:val="center"/>
              <w:rPr>
                <w:rFonts w:ascii="Calibri" w:hAnsi="Calibri"/>
                <w:color w:val="000000"/>
              </w:rPr>
            </w:pPr>
            <w:r>
              <w:rPr>
                <w:rFonts w:ascii="Calibri" w:hAnsi="Calibri"/>
                <w:color w:val="000000"/>
              </w:rPr>
              <w:t>18</w:t>
            </w:r>
          </w:p>
        </w:tc>
        <w:tc>
          <w:tcPr>
            <w:tcW w:w="4788" w:type="dxa"/>
            <w:tcBorders>
              <w:start w:val="single" w:sz="2" w:space="0" w:color="000000"/>
              <w:bottom w:val="single" w:sz="2" w:space="0" w:color="000000"/>
              <w:end w:val="single" w:sz="2" w:space="0" w:color="000000"/>
            </w:tcBorders>
            <w:shd w:fill="ACB20C" w:val="clear"/>
            <w:vAlign w:val="center"/>
          </w:tcPr>
          <w:p>
            <w:pPr>
              <w:pStyle w:val="Normal"/>
              <w:snapToGrid w:val="false"/>
              <w:spacing w:lineRule="auto" w:line="360"/>
              <w:jc w:val="center"/>
              <w:rPr>
                <w:rFonts w:ascii="Calibri" w:hAnsi="Calibri"/>
              </w:rPr>
            </w:pPr>
            <w:r>
              <w:rPr>
                <w:rFonts w:ascii="Calibri" w:hAnsi="Calibri"/>
              </w:rPr>
              <w:t>decyzje odmowne</w:t>
            </w:r>
          </w:p>
        </w:tc>
      </w:tr>
      <w:tr>
        <w:trPr/>
        <w:tc>
          <w:tcPr>
            <w:tcW w:w="3996" w:type="dxa"/>
            <w:tcBorders>
              <w:start w:val="single" w:sz="2" w:space="0" w:color="000000"/>
              <w:bottom w:val="single" w:sz="2" w:space="0" w:color="000000"/>
            </w:tcBorders>
            <w:shd w:fill="E6E905" w:val="clear"/>
            <w:vAlign w:val="center"/>
          </w:tcPr>
          <w:p>
            <w:pPr>
              <w:pStyle w:val="Normal"/>
              <w:snapToGrid w:val="false"/>
              <w:spacing w:lineRule="auto" w:line="360"/>
              <w:jc w:val="center"/>
              <w:rPr>
                <w:rFonts w:ascii="Calibri" w:hAnsi="Calibri"/>
                <w:color w:val="000000"/>
              </w:rPr>
            </w:pPr>
            <w:r>
              <w:rPr>
                <w:rFonts w:ascii="Calibri" w:hAnsi="Calibri"/>
                <w:color w:val="000000"/>
              </w:rPr>
              <w:t>59</w:t>
            </w:r>
          </w:p>
        </w:tc>
        <w:tc>
          <w:tcPr>
            <w:tcW w:w="4788" w:type="dxa"/>
            <w:tcBorders>
              <w:start w:val="single" w:sz="2" w:space="0" w:color="000000"/>
              <w:bottom w:val="single" w:sz="2" w:space="0" w:color="000000"/>
              <w:end w:val="single" w:sz="2" w:space="0" w:color="000000"/>
            </w:tcBorders>
            <w:shd w:fill="ACB20C" w:val="clear"/>
            <w:vAlign w:val="center"/>
          </w:tcPr>
          <w:p>
            <w:pPr>
              <w:pStyle w:val="Normal"/>
              <w:snapToGrid w:val="false"/>
              <w:spacing w:lineRule="auto" w:line="360"/>
              <w:jc w:val="center"/>
              <w:rPr>
                <w:rFonts w:ascii="Calibri" w:hAnsi="Calibri"/>
              </w:rPr>
            </w:pPr>
            <w:r>
              <w:rPr>
                <w:rFonts w:ascii="Calibri" w:hAnsi="Calibri"/>
              </w:rPr>
              <w:t>decyzje wygaszające</w:t>
            </w:r>
          </w:p>
        </w:tc>
      </w:tr>
      <w:tr>
        <w:trPr/>
        <w:tc>
          <w:tcPr>
            <w:tcW w:w="3996" w:type="dxa"/>
            <w:tcBorders>
              <w:start w:val="single" w:sz="2" w:space="0" w:color="000000"/>
              <w:bottom w:val="single" w:sz="2" w:space="0" w:color="000000"/>
            </w:tcBorders>
            <w:shd w:fill="E6E905" w:val="clear"/>
            <w:vAlign w:val="center"/>
          </w:tcPr>
          <w:p>
            <w:pPr>
              <w:pStyle w:val="Normal"/>
              <w:snapToGrid w:val="false"/>
              <w:spacing w:lineRule="auto" w:line="360"/>
              <w:jc w:val="center"/>
              <w:rPr>
                <w:rFonts w:ascii="Calibri" w:hAnsi="Calibri"/>
                <w:color w:val="000000"/>
              </w:rPr>
            </w:pPr>
            <w:r>
              <w:rPr>
                <w:rFonts w:ascii="Calibri" w:hAnsi="Calibri"/>
                <w:color w:val="000000"/>
              </w:rPr>
              <w:t>42</w:t>
            </w:r>
          </w:p>
        </w:tc>
        <w:tc>
          <w:tcPr>
            <w:tcW w:w="4788" w:type="dxa"/>
            <w:tcBorders>
              <w:start w:val="single" w:sz="2" w:space="0" w:color="000000"/>
              <w:bottom w:val="single" w:sz="2" w:space="0" w:color="000000"/>
              <w:end w:val="single" w:sz="2" w:space="0" w:color="000000"/>
            </w:tcBorders>
            <w:shd w:fill="ACB20C" w:val="clear"/>
            <w:vAlign w:val="center"/>
          </w:tcPr>
          <w:p>
            <w:pPr>
              <w:pStyle w:val="Normal"/>
              <w:snapToGrid w:val="false"/>
              <w:spacing w:lineRule="auto" w:line="360"/>
              <w:jc w:val="center"/>
              <w:rPr>
                <w:rFonts w:ascii="Calibri" w:hAnsi="Calibri"/>
              </w:rPr>
            </w:pPr>
            <w:r>
              <w:rPr>
                <w:rFonts w:ascii="Calibri" w:hAnsi="Calibri"/>
              </w:rPr>
              <w:t>decyzje umarzające postępowanie</w:t>
            </w:r>
          </w:p>
        </w:tc>
      </w:tr>
      <w:tr>
        <w:trPr/>
        <w:tc>
          <w:tcPr>
            <w:tcW w:w="3996" w:type="dxa"/>
            <w:tcBorders>
              <w:start w:val="single" w:sz="2" w:space="0" w:color="000000"/>
              <w:bottom w:val="single" w:sz="2" w:space="0" w:color="000000"/>
            </w:tcBorders>
            <w:shd w:fill="E6E905" w:val="clear"/>
            <w:vAlign w:val="center"/>
          </w:tcPr>
          <w:p>
            <w:pPr>
              <w:pStyle w:val="Normal"/>
              <w:snapToGrid w:val="false"/>
              <w:spacing w:lineRule="auto" w:line="360"/>
              <w:jc w:val="center"/>
              <w:rPr>
                <w:rFonts w:ascii="Calibri" w:hAnsi="Calibri"/>
                <w:color w:val="000000"/>
              </w:rPr>
            </w:pPr>
            <w:r>
              <w:rPr>
                <w:rFonts w:ascii="Calibri" w:hAnsi="Calibri"/>
                <w:color w:val="000000"/>
              </w:rPr>
              <w:t>89</w:t>
            </w:r>
          </w:p>
        </w:tc>
        <w:tc>
          <w:tcPr>
            <w:tcW w:w="4788" w:type="dxa"/>
            <w:tcBorders>
              <w:start w:val="single" w:sz="2" w:space="0" w:color="000000"/>
              <w:bottom w:val="single" w:sz="2" w:space="0" w:color="000000"/>
              <w:end w:val="single" w:sz="2" w:space="0" w:color="000000"/>
            </w:tcBorders>
            <w:shd w:fill="ACB20C" w:val="clear"/>
            <w:vAlign w:val="center"/>
          </w:tcPr>
          <w:p>
            <w:pPr>
              <w:pStyle w:val="Normal"/>
              <w:snapToGrid w:val="false"/>
              <w:spacing w:lineRule="auto" w:line="360"/>
              <w:jc w:val="center"/>
              <w:rPr>
                <w:rFonts w:ascii="Calibri" w:hAnsi="Calibri"/>
              </w:rPr>
            </w:pPr>
            <w:r>
              <w:rPr>
                <w:rFonts w:ascii="Calibri" w:hAnsi="Calibri"/>
              </w:rPr>
              <w:t>decyzje ustalające odpłatność</w:t>
            </w:r>
          </w:p>
        </w:tc>
      </w:tr>
      <w:tr>
        <w:trPr/>
        <w:tc>
          <w:tcPr>
            <w:tcW w:w="3996" w:type="dxa"/>
            <w:tcBorders>
              <w:start w:val="single" w:sz="2" w:space="0" w:color="000000"/>
              <w:bottom w:val="single" w:sz="2" w:space="0" w:color="000000"/>
            </w:tcBorders>
            <w:shd w:fill="E6E905" w:val="clear"/>
            <w:vAlign w:val="center"/>
          </w:tcPr>
          <w:p>
            <w:pPr>
              <w:pStyle w:val="Normal"/>
              <w:snapToGrid w:val="false"/>
              <w:spacing w:lineRule="auto" w:line="360"/>
              <w:jc w:val="center"/>
              <w:rPr>
                <w:rFonts w:ascii="Calibri" w:hAnsi="Calibri"/>
                <w:color w:val="000000"/>
              </w:rPr>
            </w:pPr>
            <w:r>
              <w:rPr>
                <w:rFonts w:ascii="Calibri" w:hAnsi="Calibri"/>
                <w:color w:val="000000"/>
              </w:rPr>
              <w:t>29</w:t>
            </w:r>
          </w:p>
        </w:tc>
        <w:tc>
          <w:tcPr>
            <w:tcW w:w="4788" w:type="dxa"/>
            <w:tcBorders>
              <w:start w:val="single" w:sz="2" w:space="0" w:color="000000"/>
              <w:bottom w:val="single" w:sz="2" w:space="0" w:color="000000"/>
              <w:end w:val="single" w:sz="2" w:space="0" w:color="000000"/>
            </w:tcBorders>
            <w:shd w:fill="ACB20C" w:val="clear"/>
            <w:vAlign w:val="center"/>
          </w:tcPr>
          <w:p>
            <w:pPr>
              <w:pStyle w:val="Normal"/>
              <w:snapToGrid w:val="false"/>
              <w:jc w:val="center"/>
              <w:rPr>
                <w:rFonts w:ascii="Calibri" w:hAnsi="Calibri"/>
              </w:rPr>
            </w:pPr>
            <w:r>
              <w:rPr>
                <w:rFonts w:ascii="Calibri" w:hAnsi="Calibri"/>
              </w:rPr>
              <w:t>decyzje częściowo lub całkowicie zwalniające              z odpłatności</w:t>
            </w:r>
          </w:p>
        </w:tc>
      </w:tr>
    </w:tbl>
    <w:p>
      <w:pPr>
        <w:pStyle w:val="Normal"/>
        <w:spacing w:lineRule="auto" w:line="360"/>
        <w:jc w:val="both"/>
        <w:rPr>
          <w:rFonts w:ascii="Calibri" w:hAnsi="Calibri"/>
        </w:rPr>
      </w:pPr>
      <w:r>
        <w:rPr>
          <w:rFonts w:ascii="Calibri" w:hAnsi="Calibri"/>
        </w:rPr>
      </w:r>
    </w:p>
    <w:p>
      <w:pPr>
        <w:pStyle w:val="Normal"/>
        <w:spacing w:lineRule="auto" w:line="360"/>
        <w:jc w:val="both"/>
        <w:rPr/>
      </w:pPr>
      <w:r>
        <w:rPr/>
      </w:r>
    </w:p>
    <w:p>
      <w:pPr>
        <w:pStyle w:val="Normal"/>
        <w:spacing w:lineRule="auto" w:line="360"/>
        <w:jc w:val="both"/>
        <w:rPr/>
      </w:pPr>
      <w:r>
        <w:rPr>
          <w:rStyle w:val="Domylnaczcionkaakapitu"/>
          <w:rFonts w:eastAsia="TimesNewRomanPS-BoldMT" w:cs="TimesNewRomanPS-BoldMT" w:ascii="Calibri" w:hAnsi="Calibri"/>
          <w:b/>
          <w:bCs/>
          <w:color w:val="000000"/>
        </w:rPr>
        <w:t>Świadczenia na rzecz pomocy obywatelom Ukrainy</w:t>
      </w:r>
    </w:p>
    <w:p>
      <w:pPr>
        <w:pStyle w:val="Normal"/>
        <w:spacing w:lineRule="auto" w:line="360"/>
        <w:ind w:firstLine="709"/>
        <w:jc w:val="both"/>
        <w:rPr/>
      </w:pPr>
      <w:r>
        <w:rPr>
          <w:rStyle w:val="Domylnaczcionkaakapitu"/>
          <w:rFonts w:eastAsia="Times New Roman" w:cs="Times New Roman" w:ascii="Calibri" w:hAnsi="Calibri"/>
          <w:color w:val="000000"/>
        </w:rPr>
        <w:t>Sekcja Świadczeń Pomocy Społecznej realizuje zadania w zakresie przyznawania ś</w:t>
      </w:r>
      <w:r>
        <w:rPr>
          <w:rStyle w:val="Domylnaczcionkaakapitu"/>
          <w:rFonts w:eastAsia="TimesNewRomanPS-BoldMT" w:cs="TimesNewRomanPS-BoldMT" w:ascii="Calibri" w:hAnsi="Calibri"/>
          <w:color w:val="000000"/>
        </w:rPr>
        <w:t xml:space="preserve">wiadczeń                        z pomocy społecznej w formie pieniężnej i niepieniężnej na podstawie ustawy z dnia 12 marca 2022 roku o </w:t>
      </w:r>
      <w:r>
        <w:rPr>
          <w:rStyle w:val="Domylnaczcionkaakapitu"/>
          <w:rFonts w:ascii="Calibri" w:hAnsi="Calibri"/>
        </w:rPr>
        <w:t xml:space="preserve">pomocy obywatelom Ukrainy w związku z konfliktem zbrojnym na terytorium tego państwa </w:t>
      </w:r>
      <w:r>
        <w:rPr>
          <w:rStyle w:val="Domylnaczcionkaakapitu"/>
          <w:rFonts w:eastAsia="TimesNewRomanPS-BoldMT" w:cs="TimesNewRomanPS-BoldMT" w:ascii="Calibri" w:hAnsi="Calibri"/>
          <w:color w:val="000000"/>
        </w:rPr>
        <w:t xml:space="preserve"> (Dz.U. z 2025r. poz. 337 z późn.zm.).</w:t>
      </w:r>
    </w:p>
    <w:p>
      <w:pPr>
        <w:pStyle w:val="Normal"/>
        <w:spacing w:lineRule="auto" w:line="360"/>
        <w:jc w:val="both"/>
        <w:rPr/>
      </w:pPr>
      <w:r>
        <w:rPr>
          <w:rStyle w:val="Domylnaczcionkaakapitu"/>
          <w:rFonts w:eastAsia="TimesNewRomanPS-BoldMT" w:cs="TimesNewRomanPS-BoldMT" w:ascii="Calibri" w:hAnsi="Calibri"/>
          <w:color w:val="000000"/>
        </w:rPr>
        <w:t>Świadczenia na rzecz pomocy obywatelom Ukrainy dotkniętym skutkami konfliktu zbrojnego, m.in.: </w:t>
      </w:r>
      <w:r>
        <w:rPr>
          <w:rStyle w:val="Domylnaczcionkaakapitu"/>
          <w:rFonts w:ascii="Calibri" w:hAnsi="Calibri"/>
        </w:rPr>
        <w:t>wypłata świadczeń z pomocy społecznej dla uchodźców z Ukrainy, </w:t>
      </w:r>
      <w:r>
        <w:rPr>
          <w:rStyle w:val="Domylnaczcionkaakapitu"/>
          <w:rFonts w:eastAsia="TimesNewRomanPS-BoldMT" w:cs="TimesNewRomanPS-BoldMT" w:ascii="Calibri" w:hAnsi="Calibri"/>
          <w:color w:val="000000"/>
        </w:rPr>
        <w:t xml:space="preserve"> finansowane były </w:t>
        <w:br/>
        <w:t xml:space="preserve">ze środków Funduszu Pomocy. </w:t>
      </w:r>
    </w:p>
    <w:p>
      <w:pPr>
        <w:pStyle w:val="Normal"/>
        <w:spacing w:lineRule="auto" w:line="360"/>
        <w:ind w:firstLine="709"/>
        <w:jc w:val="both"/>
        <w:rPr/>
      </w:pPr>
      <w:r>
        <w:rPr>
          <w:rStyle w:val="Domylnaczcionkaakapitu"/>
          <w:rFonts w:ascii="Calibri" w:hAnsi="Calibri"/>
        </w:rPr>
        <w:t xml:space="preserve">Zgodnie z nowelizacją ustawy o pomocy obywatelom Ukrainy w związku z konfliktem zbrojnym na terytorium tego państwa przedłużono okres przyznanych uprawnień dla obywateli Ukrainy, którzy legalnie przybyli do Polski od 24 lutego 2022r. w związku z działaniami wojennymi </w:t>
        <w:br/>
        <w:t>w Ukrainie do dnia 04.03.2026 r.</w:t>
      </w:r>
    </w:p>
    <w:p>
      <w:pPr>
        <w:pStyle w:val="Normal"/>
        <w:spacing w:lineRule="auto" w:line="360"/>
        <w:jc w:val="both"/>
        <w:rPr>
          <w:rFonts w:ascii="Calibri" w:hAnsi="Calibri"/>
        </w:rPr>
      </w:pPr>
      <w:r>
        <w:rPr>
          <w:rFonts w:ascii="Calibri" w:hAnsi="Calibri"/>
        </w:rPr>
      </w:r>
    </w:p>
    <w:p>
      <w:pPr>
        <w:pStyle w:val="Normal"/>
        <w:spacing w:lineRule="auto" w:line="360"/>
        <w:jc w:val="both"/>
        <w:rPr>
          <w:rFonts w:ascii="Calibri" w:hAnsi="Calibri"/>
        </w:rPr>
      </w:pPr>
      <w:r>
        <w:rPr>
          <w:rFonts w:ascii="Calibri" w:hAnsi="Calibri"/>
        </w:rPr>
      </w:r>
    </w:p>
    <w:p>
      <w:pPr>
        <w:pStyle w:val="Normal"/>
        <w:spacing w:lineRule="auto" w:line="360"/>
        <w:jc w:val="both"/>
        <w:rPr>
          <w:rFonts w:ascii="Calibri" w:hAnsi="Calibri"/>
        </w:rPr>
      </w:pPr>
      <w:r>
        <w:rPr>
          <w:rFonts w:ascii="Calibri" w:hAnsi="Calibri"/>
        </w:rPr>
      </w:r>
    </w:p>
    <w:p>
      <w:pPr>
        <w:pStyle w:val="Normal"/>
        <w:spacing w:lineRule="auto" w:line="360"/>
        <w:jc w:val="both"/>
        <w:rPr>
          <w:rFonts w:ascii="Calibri" w:hAnsi="Calibri"/>
        </w:rPr>
      </w:pPr>
      <w:r>
        <w:rPr>
          <w:rFonts w:ascii="Calibri" w:hAnsi="Calibri"/>
        </w:rPr>
      </w:r>
      <w:r>
        <w:br w:type="page"/>
      </w:r>
    </w:p>
    <w:p>
      <w:pPr>
        <w:pStyle w:val="Normal"/>
        <w:spacing w:lineRule="auto" w:line="360"/>
        <w:jc w:val="both"/>
        <w:rPr>
          <w:rFonts w:ascii="Calibri" w:hAnsi="Calibri"/>
        </w:rPr>
      </w:pPr>
      <w:r>
        <w:rPr>
          <w:rFonts w:ascii="Calibri" w:hAnsi="Calibri"/>
        </w:rPr>
        <w:t>W 2025 roku na podstawie w/w ustawy objęto pomocą i wypłacono:</w:t>
      </w:r>
    </w:p>
    <w:p>
      <w:pPr>
        <w:pStyle w:val="Normal"/>
        <w:rPr>
          <w:rFonts w:ascii="Calibri" w:hAnsi="Calibri"/>
        </w:rPr>
      </w:pPr>
      <w:r>
        <w:rPr>
          <w:rFonts w:ascii="Calibri" w:hAnsi="Calibri"/>
        </w:rPr>
      </w:r>
    </w:p>
    <w:tbl>
      <w:tblPr>
        <w:tblW w:w="9068" w:type="dxa"/>
        <w:jc w:val="start"/>
        <w:tblInd w:w="90" w:type="dxa"/>
        <w:tblLayout w:type="fixed"/>
        <w:tblCellMar>
          <w:top w:w="55" w:type="dxa"/>
          <w:start w:w="55" w:type="dxa"/>
          <w:bottom w:w="55" w:type="dxa"/>
          <w:end w:w="55" w:type="dxa"/>
        </w:tblCellMar>
      </w:tblPr>
      <w:tblGrid>
        <w:gridCol w:w="4782"/>
        <w:gridCol w:w="2211"/>
        <w:gridCol w:w="2075"/>
      </w:tblGrid>
      <w:tr>
        <w:trPr/>
        <w:tc>
          <w:tcPr>
            <w:tcW w:w="4782" w:type="dxa"/>
            <w:tcBorders>
              <w:top w:val="single" w:sz="2" w:space="0" w:color="000000"/>
              <w:start w:val="single" w:sz="2" w:space="0" w:color="000000"/>
              <w:bottom w:val="single" w:sz="2" w:space="0" w:color="000000"/>
            </w:tcBorders>
            <w:shd w:fill="FF8000" w:val="clear"/>
            <w:vAlign w:val="center"/>
          </w:tcPr>
          <w:p>
            <w:pPr>
              <w:pStyle w:val="Zawartotabeli"/>
              <w:snapToGrid w:val="false"/>
              <w:spacing w:lineRule="auto" w:line="360"/>
              <w:jc w:val="center"/>
              <w:rPr>
                <w:rFonts w:ascii="Calibri" w:hAnsi="Calibri"/>
                <w:b/>
                <w:bCs/>
              </w:rPr>
            </w:pPr>
            <w:r>
              <w:rPr>
                <w:rFonts w:ascii="Calibri" w:hAnsi="Calibri"/>
                <w:b/>
                <w:bCs/>
              </w:rPr>
              <w:t>Rodzaj świadczenia</w:t>
            </w:r>
          </w:p>
        </w:tc>
        <w:tc>
          <w:tcPr>
            <w:tcW w:w="2211" w:type="dxa"/>
            <w:tcBorders>
              <w:top w:val="single" w:sz="2" w:space="0" w:color="000000"/>
              <w:start w:val="single" w:sz="2" w:space="0" w:color="000000"/>
              <w:bottom w:val="single" w:sz="2" w:space="0" w:color="000000"/>
            </w:tcBorders>
            <w:shd w:fill="FF8000" w:val="clear"/>
            <w:vAlign w:val="center"/>
          </w:tcPr>
          <w:p>
            <w:pPr>
              <w:pStyle w:val="Zawartotabeli"/>
              <w:snapToGrid w:val="false"/>
              <w:spacing w:lineRule="auto" w:line="276"/>
              <w:jc w:val="center"/>
              <w:rPr>
                <w:rFonts w:ascii="Calibri" w:hAnsi="Calibri"/>
                <w:b/>
                <w:bCs/>
              </w:rPr>
            </w:pPr>
            <w:r>
              <w:rPr>
                <w:rFonts w:ascii="Calibri" w:hAnsi="Calibri"/>
                <w:b/>
                <w:bCs/>
              </w:rPr>
              <w:t>Liczba świadczeniobiorców</w:t>
            </w:r>
          </w:p>
        </w:tc>
        <w:tc>
          <w:tcPr>
            <w:tcW w:w="2075" w:type="dxa"/>
            <w:tcBorders>
              <w:top w:val="single" w:sz="2" w:space="0" w:color="000000"/>
              <w:start w:val="single" w:sz="2" w:space="0" w:color="000000"/>
              <w:bottom w:val="single" w:sz="2" w:space="0" w:color="000000"/>
              <w:end w:val="single" w:sz="2" w:space="0" w:color="000000"/>
            </w:tcBorders>
            <w:shd w:fill="FF8000" w:val="clear"/>
            <w:vAlign w:val="center"/>
          </w:tcPr>
          <w:p>
            <w:pPr>
              <w:pStyle w:val="Zawartotabeli"/>
              <w:snapToGrid w:val="false"/>
              <w:spacing w:lineRule="auto" w:line="360"/>
              <w:jc w:val="center"/>
              <w:rPr>
                <w:rFonts w:ascii="Calibri" w:hAnsi="Calibri"/>
                <w:b/>
                <w:bCs/>
              </w:rPr>
            </w:pPr>
            <w:r>
              <w:rPr>
                <w:rFonts w:ascii="Calibri" w:hAnsi="Calibri"/>
                <w:b/>
                <w:bCs/>
              </w:rPr>
              <w:t>Kwota</w:t>
            </w:r>
          </w:p>
        </w:tc>
      </w:tr>
      <w:tr>
        <w:trPr/>
        <w:tc>
          <w:tcPr>
            <w:tcW w:w="4782" w:type="dxa"/>
            <w:tcBorders>
              <w:start w:val="single" w:sz="2" w:space="0" w:color="000000"/>
              <w:bottom w:val="single" w:sz="2" w:space="0" w:color="000000"/>
            </w:tcBorders>
            <w:shd w:fill="E6E905" w:val="clear"/>
            <w:vAlign w:val="center"/>
          </w:tcPr>
          <w:p>
            <w:pPr>
              <w:pStyle w:val="Normal"/>
              <w:snapToGrid w:val="false"/>
              <w:spacing w:lineRule="auto" w:line="360"/>
              <w:jc w:val="center"/>
              <w:rPr>
                <w:rFonts w:ascii="Calibri" w:hAnsi="Calibri"/>
              </w:rPr>
            </w:pPr>
            <w:r>
              <w:rPr>
                <w:rFonts w:ascii="Calibri" w:hAnsi="Calibri"/>
              </w:rPr>
              <w:t>zasiłek stały</w:t>
            </w:r>
          </w:p>
        </w:tc>
        <w:tc>
          <w:tcPr>
            <w:tcW w:w="2211" w:type="dxa"/>
            <w:tcBorders>
              <w:start w:val="single" w:sz="2" w:space="0" w:color="000000"/>
              <w:bottom w:val="single" w:sz="2" w:space="0" w:color="000000"/>
            </w:tcBorders>
            <w:shd w:fill="ACB20C" w:val="clear"/>
            <w:vAlign w:val="center"/>
          </w:tcPr>
          <w:p>
            <w:pPr>
              <w:pStyle w:val="Normal"/>
              <w:snapToGrid w:val="false"/>
              <w:spacing w:lineRule="auto" w:line="360"/>
              <w:jc w:val="center"/>
              <w:rPr>
                <w:rFonts w:ascii="Calibri" w:hAnsi="Calibri"/>
              </w:rPr>
            </w:pPr>
            <w:r>
              <w:rPr>
                <w:rFonts w:ascii="Calibri" w:hAnsi="Calibri"/>
              </w:rPr>
              <w:t>10</w:t>
            </w:r>
          </w:p>
        </w:tc>
        <w:tc>
          <w:tcPr>
            <w:tcW w:w="2075" w:type="dxa"/>
            <w:tcBorders>
              <w:start w:val="single" w:sz="2" w:space="0" w:color="000000"/>
              <w:bottom w:val="single" w:sz="2" w:space="0" w:color="000000"/>
              <w:end w:val="single" w:sz="2" w:space="0" w:color="000000"/>
            </w:tcBorders>
            <w:shd w:fill="FFFF38" w:val="clear"/>
            <w:vAlign w:val="center"/>
          </w:tcPr>
          <w:p>
            <w:pPr>
              <w:pStyle w:val="Normal"/>
              <w:snapToGrid w:val="false"/>
              <w:spacing w:lineRule="auto" w:line="360"/>
              <w:jc w:val="center"/>
              <w:rPr>
                <w:rFonts w:ascii="Calibri" w:hAnsi="Calibri"/>
                <w:b/>
                <w:bCs/>
              </w:rPr>
            </w:pPr>
            <w:r>
              <w:rPr>
                <w:rFonts w:ascii="Calibri" w:hAnsi="Calibri"/>
                <w:b/>
                <w:bCs/>
              </w:rPr>
              <w:t>56 294,12 zł</w:t>
            </w:r>
          </w:p>
        </w:tc>
      </w:tr>
      <w:tr>
        <w:trPr/>
        <w:tc>
          <w:tcPr>
            <w:tcW w:w="4782" w:type="dxa"/>
            <w:tcBorders>
              <w:start w:val="single" w:sz="2" w:space="0" w:color="000000"/>
              <w:bottom w:val="single" w:sz="2" w:space="0" w:color="000000"/>
            </w:tcBorders>
            <w:shd w:fill="E6E905" w:val="clear"/>
            <w:vAlign w:val="center"/>
          </w:tcPr>
          <w:p>
            <w:pPr>
              <w:pStyle w:val="Normal"/>
              <w:snapToGrid w:val="false"/>
              <w:jc w:val="center"/>
              <w:rPr>
                <w:rFonts w:ascii="Calibri" w:hAnsi="Calibri"/>
              </w:rPr>
            </w:pPr>
            <w:r>
              <w:rPr>
                <w:rFonts w:ascii="Calibri" w:hAnsi="Calibri"/>
              </w:rPr>
              <w:t>opłacenie składki zdrowotnej od zasiłku stałego</w:t>
            </w:r>
          </w:p>
        </w:tc>
        <w:tc>
          <w:tcPr>
            <w:tcW w:w="2211" w:type="dxa"/>
            <w:tcBorders>
              <w:start w:val="single" w:sz="2" w:space="0" w:color="000000"/>
              <w:bottom w:val="single" w:sz="2" w:space="0" w:color="000000"/>
            </w:tcBorders>
            <w:shd w:fill="ACB20C" w:val="clear"/>
            <w:vAlign w:val="center"/>
          </w:tcPr>
          <w:p>
            <w:pPr>
              <w:pStyle w:val="Normal"/>
              <w:snapToGrid w:val="false"/>
              <w:spacing w:lineRule="auto" w:line="360"/>
              <w:jc w:val="center"/>
              <w:rPr>
                <w:rFonts w:ascii="Calibri" w:hAnsi="Calibri"/>
                <w:color w:val="000000"/>
              </w:rPr>
            </w:pPr>
            <w:r>
              <w:rPr>
                <w:rFonts w:ascii="Calibri" w:hAnsi="Calibri"/>
                <w:color w:val="000000"/>
              </w:rPr>
              <w:t>9</w:t>
            </w:r>
          </w:p>
        </w:tc>
        <w:tc>
          <w:tcPr>
            <w:tcW w:w="2075" w:type="dxa"/>
            <w:tcBorders>
              <w:start w:val="single" w:sz="2" w:space="0" w:color="000000"/>
              <w:bottom w:val="single" w:sz="2" w:space="0" w:color="000000"/>
              <w:end w:val="single" w:sz="2" w:space="0" w:color="000000"/>
            </w:tcBorders>
            <w:shd w:fill="FFFF38" w:val="clear"/>
            <w:vAlign w:val="center"/>
          </w:tcPr>
          <w:p>
            <w:pPr>
              <w:pStyle w:val="Normal"/>
              <w:snapToGrid w:val="false"/>
              <w:spacing w:lineRule="auto" w:line="360"/>
              <w:jc w:val="center"/>
              <w:rPr>
                <w:rFonts w:ascii="Calibri" w:hAnsi="Calibri"/>
                <w:b/>
                <w:bCs/>
                <w:color w:val="000000"/>
              </w:rPr>
            </w:pPr>
            <w:r>
              <w:rPr>
                <w:rFonts w:ascii="Calibri" w:hAnsi="Calibri"/>
                <w:b/>
                <w:bCs/>
                <w:color w:val="000000"/>
              </w:rPr>
              <w:t>4 116,32 zł</w:t>
            </w:r>
          </w:p>
        </w:tc>
      </w:tr>
      <w:tr>
        <w:trPr/>
        <w:tc>
          <w:tcPr>
            <w:tcW w:w="4782" w:type="dxa"/>
            <w:tcBorders>
              <w:start w:val="single" w:sz="2" w:space="0" w:color="000000"/>
              <w:bottom w:val="single" w:sz="2" w:space="0" w:color="000000"/>
            </w:tcBorders>
            <w:shd w:fill="E6E905" w:val="clear"/>
            <w:vAlign w:val="center"/>
          </w:tcPr>
          <w:p>
            <w:pPr>
              <w:pStyle w:val="Normal"/>
              <w:tabs>
                <w:tab w:val="clear" w:pos="709"/>
                <w:tab w:val="left" w:pos="567" w:leader="none"/>
                <w:tab w:val="left" w:pos="5670" w:leader="none"/>
                <w:tab w:val="center" w:pos="10965" w:leader="none"/>
                <w:tab w:val="left" w:pos="10980" w:leader="none"/>
                <w:tab w:val="center" w:pos="10995" w:leader="none"/>
                <w:tab w:val="left" w:pos="11010" w:leader="none"/>
                <w:tab w:val="left" w:pos="11040" w:leader="none"/>
              </w:tabs>
              <w:snapToGrid w:val="false"/>
              <w:spacing w:lineRule="auto" w:line="360"/>
              <w:jc w:val="center"/>
              <w:rPr>
                <w:rFonts w:ascii="Calibri" w:hAnsi="Calibri"/>
              </w:rPr>
            </w:pPr>
            <w:r>
              <w:rPr>
                <w:rFonts w:ascii="Calibri" w:hAnsi="Calibri"/>
              </w:rPr>
              <w:t>zasiłek okresowy</w:t>
            </w:r>
          </w:p>
        </w:tc>
        <w:tc>
          <w:tcPr>
            <w:tcW w:w="2211" w:type="dxa"/>
            <w:tcBorders>
              <w:start w:val="single" w:sz="2" w:space="0" w:color="000000"/>
              <w:bottom w:val="single" w:sz="2" w:space="0" w:color="000000"/>
            </w:tcBorders>
            <w:shd w:fill="ACB20C" w:val="clear"/>
            <w:vAlign w:val="center"/>
          </w:tcPr>
          <w:p>
            <w:pPr>
              <w:pStyle w:val="Normal"/>
              <w:tabs>
                <w:tab w:val="clear" w:pos="709"/>
                <w:tab w:val="left" w:pos="567" w:leader="none"/>
                <w:tab w:val="left" w:pos="5670" w:leader="none"/>
                <w:tab w:val="center" w:pos="10965" w:leader="none"/>
                <w:tab w:val="left" w:pos="10980" w:leader="none"/>
                <w:tab w:val="center" w:pos="10995" w:leader="none"/>
                <w:tab w:val="left" w:pos="11010" w:leader="none"/>
                <w:tab w:val="left" w:pos="11040" w:leader="none"/>
              </w:tabs>
              <w:snapToGrid w:val="false"/>
              <w:spacing w:lineRule="auto" w:line="360"/>
              <w:jc w:val="center"/>
              <w:rPr>
                <w:rFonts w:ascii="Calibri" w:hAnsi="Calibri"/>
              </w:rPr>
            </w:pPr>
            <w:r>
              <w:rPr>
                <w:rFonts w:ascii="Calibri" w:hAnsi="Calibri"/>
              </w:rPr>
              <w:t>8</w:t>
            </w:r>
          </w:p>
        </w:tc>
        <w:tc>
          <w:tcPr>
            <w:tcW w:w="2075" w:type="dxa"/>
            <w:tcBorders>
              <w:start w:val="single" w:sz="2" w:space="0" w:color="000000"/>
              <w:bottom w:val="single" w:sz="2" w:space="0" w:color="000000"/>
              <w:end w:val="single" w:sz="2" w:space="0" w:color="000000"/>
            </w:tcBorders>
            <w:shd w:fill="FFFF38" w:val="clear"/>
            <w:vAlign w:val="center"/>
          </w:tcPr>
          <w:p>
            <w:pPr>
              <w:pStyle w:val="Normal"/>
              <w:tabs>
                <w:tab w:val="clear" w:pos="709"/>
                <w:tab w:val="left" w:pos="567" w:leader="none"/>
                <w:tab w:val="left" w:pos="5670" w:leader="none"/>
                <w:tab w:val="center" w:pos="10965" w:leader="none"/>
                <w:tab w:val="left" w:pos="10980" w:leader="none"/>
                <w:tab w:val="center" w:pos="10995" w:leader="none"/>
                <w:tab w:val="left" w:pos="11010" w:leader="none"/>
                <w:tab w:val="left" w:pos="11040" w:leader="none"/>
              </w:tabs>
              <w:snapToGrid w:val="false"/>
              <w:spacing w:lineRule="auto" w:line="360"/>
              <w:jc w:val="center"/>
              <w:rPr>
                <w:rFonts w:ascii="Calibri" w:hAnsi="Calibri"/>
                <w:b/>
                <w:bCs/>
              </w:rPr>
            </w:pPr>
            <w:r>
              <w:rPr>
                <w:rFonts w:ascii="Calibri" w:hAnsi="Calibri"/>
                <w:b/>
                <w:bCs/>
              </w:rPr>
              <w:t>68 857,94 zł</w:t>
            </w:r>
          </w:p>
        </w:tc>
      </w:tr>
      <w:tr>
        <w:trPr/>
        <w:tc>
          <w:tcPr>
            <w:tcW w:w="4782" w:type="dxa"/>
            <w:tcBorders>
              <w:start w:val="single" w:sz="2" w:space="0" w:color="000000"/>
              <w:bottom w:val="single" w:sz="2" w:space="0" w:color="000000"/>
            </w:tcBorders>
            <w:shd w:fill="E6E905" w:val="clear"/>
            <w:vAlign w:val="center"/>
          </w:tcPr>
          <w:p>
            <w:pPr>
              <w:pStyle w:val="Normal"/>
              <w:tabs>
                <w:tab w:val="clear" w:pos="709"/>
                <w:tab w:val="left" w:pos="5670" w:leader="none"/>
              </w:tabs>
              <w:snapToGrid w:val="false"/>
              <w:spacing w:lineRule="auto" w:line="360"/>
              <w:jc w:val="center"/>
              <w:rPr>
                <w:rFonts w:ascii="Calibri" w:hAnsi="Calibri"/>
              </w:rPr>
            </w:pPr>
            <w:r>
              <w:rPr>
                <w:rFonts w:ascii="Calibri" w:hAnsi="Calibri"/>
              </w:rPr>
              <w:t>zapewnienie posiłku dla dzieci i młodzieży</w:t>
            </w:r>
          </w:p>
        </w:tc>
        <w:tc>
          <w:tcPr>
            <w:tcW w:w="2211" w:type="dxa"/>
            <w:tcBorders>
              <w:start w:val="single" w:sz="2" w:space="0" w:color="000000"/>
              <w:bottom w:val="single" w:sz="2" w:space="0" w:color="000000"/>
            </w:tcBorders>
            <w:shd w:fill="ACB20C" w:val="clear"/>
            <w:vAlign w:val="center"/>
          </w:tcPr>
          <w:p>
            <w:pPr>
              <w:pStyle w:val="Normal"/>
              <w:tabs>
                <w:tab w:val="clear" w:pos="709"/>
                <w:tab w:val="left" w:pos="5670" w:leader="none"/>
              </w:tabs>
              <w:snapToGrid w:val="false"/>
              <w:spacing w:lineRule="auto" w:line="360"/>
              <w:jc w:val="center"/>
              <w:rPr>
                <w:rFonts w:ascii="Calibri" w:hAnsi="Calibri"/>
                <w:color w:val="000000"/>
              </w:rPr>
            </w:pPr>
            <w:r>
              <w:rPr>
                <w:rFonts w:ascii="Calibri" w:hAnsi="Calibri"/>
                <w:color w:val="000000"/>
              </w:rPr>
              <w:t>68</w:t>
            </w:r>
          </w:p>
        </w:tc>
        <w:tc>
          <w:tcPr>
            <w:tcW w:w="2075" w:type="dxa"/>
            <w:tcBorders>
              <w:start w:val="single" w:sz="2" w:space="0" w:color="000000"/>
              <w:bottom w:val="single" w:sz="2" w:space="0" w:color="000000"/>
              <w:end w:val="single" w:sz="2" w:space="0" w:color="000000"/>
            </w:tcBorders>
            <w:shd w:fill="FFFF38" w:val="clear"/>
            <w:vAlign w:val="center"/>
          </w:tcPr>
          <w:p>
            <w:pPr>
              <w:pStyle w:val="Normal"/>
              <w:tabs>
                <w:tab w:val="clear" w:pos="709"/>
                <w:tab w:val="left" w:pos="5670" w:leader="none"/>
              </w:tabs>
              <w:snapToGrid w:val="false"/>
              <w:spacing w:lineRule="auto" w:line="360"/>
              <w:jc w:val="center"/>
              <w:rPr>
                <w:rFonts w:ascii="Calibri" w:hAnsi="Calibri"/>
                <w:b/>
                <w:bCs/>
                <w:color w:val="000000"/>
              </w:rPr>
            </w:pPr>
            <w:r>
              <w:rPr>
                <w:rFonts w:ascii="Calibri" w:hAnsi="Calibri"/>
                <w:b/>
                <w:bCs/>
                <w:color w:val="000000"/>
              </w:rPr>
              <w:t>10 811,50 zł</w:t>
            </w:r>
          </w:p>
        </w:tc>
      </w:tr>
    </w:tbl>
    <w:p>
      <w:pPr>
        <w:pStyle w:val="Normal"/>
        <w:spacing w:lineRule="auto" w:line="360"/>
        <w:jc w:val="both"/>
        <w:rPr>
          <w:rFonts w:ascii="Calibri" w:hAnsi="Calibri" w:eastAsia="Times New Roman" w:cs="Times New Roman"/>
          <w:color w:val="000000"/>
        </w:rPr>
      </w:pPr>
      <w:r>
        <w:rPr>
          <w:rFonts w:eastAsia="Times New Roman" w:cs="Times New Roman" w:ascii="Calibri" w:hAnsi="Calibri"/>
          <w:color w:val="000000"/>
        </w:rPr>
      </w:r>
    </w:p>
    <w:p>
      <w:pPr>
        <w:pStyle w:val="Normal"/>
        <w:spacing w:lineRule="auto" w:line="360"/>
        <w:jc w:val="both"/>
        <w:rPr/>
      </w:pPr>
      <w:r>
        <w:rPr>
          <w:rStyle w:val="Strong"/>
          <w:rFonts w:eastAsia="Times New Roman" w:ascii="Calibri" w:hAnsi="Calibri"/>
          <w:color w:val="000000"/>
        </w:rPr>
        <w:t xml:space="preserve">3. </w:t>
      </w:r>
      <w:r>
        <w:rPr>
          <w:rStyle w:val="Strong"/>
          <w:rFonts w:eastAsia="Times New Roman" w:cs="Calibri" w:ascii="Calibri" w:hAnsi="Calibri"/>
          <w:color w:val="000000"/>
        </w:rPr>
        <w:t>Sekcja Dodatków Mieszkaniowych, Stypendiów i Zasiłków Szkolnych</w:t>
      </w:r>
    </w:p>
    <w:p>
      <w:pPr>
        <w:pStyle w:val="Normal"/>
        <w:spacing w:lineRule="auto" w:line="360"/>
        <w:jc w:val="both"/>
        <w:rPr/>
      </w:pPr>
      <w:r>
        <w:rPr/>
      </w:r>
    </w:p>
    <w:p>
      <w:pPr>
        <w:pStyle w:val="Normal"/>
        <w:spacing w:lineRule="auto" w:line="360"/>
        <w:jc w:val="both"/>
        <w:rPr/>
      </w:pPr>
      <w:r>
        <w:rPr>
          <w:rStyle w:val="Strong"/>
          <w:rFonts w:eastAsia="Times New Roman" w:ascii="Calibri" w:hAnsi="Calibri"/>
          <w:color w:val="000000"/>
        </w:rPr>
        <w:t xml:space="preserve">  </w:t>
      </w:r>
      <w:r>
        <w:rPr>
          <w:rStyle w:val="Strong"/>
          <w:rFonts w:eastAsia="Times New Roman" w:ascii="Calibri" w:hAnsi="Calibri"/>
          <w:color w:val="000000"/>
        </w:rPr>
        <w:t>Dodatek  Mieszkaniowy</w:t>
      </w:r>
    </w:p>
    <w:p>
      <w:pPr>
        <w:pStyle w:val="Normal"/>
        <w:spacing w:lineRule="auto" w:line="360"/>
        <w:jc w:val="both"/>
        <w:rPr/>
      </w:pPr>
      <w:r>
        <w:rPr>
          <w:rStyle w:val="Domylnaczcionkaakapitu"/>
          <w:rFonts w:eastAsia="Times New Roman CE" w:cs="Times New Roman CE" w:ascii="Calibri" w:hAnsi="Calibri"/>
        </w:rPr>
        <w:tab/>
        <w:t xml:space="preserve">Miejski Ośrodek Pomocy Społecznej  Dział Świadczeń – Sekcja Dodatków Mieszkaniowych, Stypendiów i Zasiłków Szkolnych  jako organ właściwy realizuje zadania w zakresie przyznawania dodatków mieszkaniowych i energetycznych. Dodatek mieszkaniowy jest jedną z form pomocy społecznej, który przyznaje się na podstawie ustawy z dnia 21 czerwca 2001 r. o dodatkach mieszkaniowych (Dz. U. z </w:t>
      </w:r>
      <w:r>
        <w:rPr>
          <w:rStyle w:val="Domylnaczcionkaakapitu"/>
          <w:rFonts w:eastAsia="Times New Roman CE" w:ascii="Calibri" w:hAnsi="Calibri"/>
        </w:rPr>
        <w:t xml:space="preserve"> 2023r. Poz.  1335</w:t>
      </w:r>
      <w:r>
        <w:rPr>
          <w:rStyle w:val="Domylnaczcionkaakapitu"/>
          <w:rFonts w:eastAsia="Times New Roman CE" w:cs="Times New Roman CE" w:ascii="Calibri" w:hAnsi="Calibri"/>
        </w:rPr>
        <w:t xml:space="preserve">), </w:t>
      </w:r>
      <w:r>
        <w:rPr>
          <w:rStyle w:val="Domylnaczcionkaakapitu"/>
          <w:rFonts w:eastAsia="Times New Roman CE" w:cs="Times New Roman CE" w:ascii="Calibri" w:hAnsi="Calibri"/>
        </w:rPr>
        <w:t>Uchwały Nr XLV/334/2021 Rady Miejskiej Tomaszowa Mazowieckiego z dnia 27 maja 2021r. W sprawie wzoru wniosku i deklaracji o przyznanie dodatku mieszkaniowego ( Dz.U.Woj. Łódzkiego z dnia 16 czerwca 2021r. Poz. 2784),</w:t>
      </w:r>
      <w:r>
        <w:rPr>
          <w:rStyle w:val="Domylnaczcionkaakapitu"/>
          <w:rFonts w:eastAsia="Times New Roman CE" w:cs="Times New Roman CE" w:ascii="Calibri" w:hAnsi="Calibri"/>
        </w:rPr>
        <w:t xml:space="preserve">  Uchwały </w:t>
        <w:br/>
        <w:t>Nr XVIII/195/03 Rady Miejskiej Tomaszowa Maz. z dnia 19.12.2003 r.  w sprawie obniżenia wskaźników procentowych określających wysokość dodatku mieszkaniowego  (Dz. Urz. Woj. Łódzkiego Nr 39 z dnia 20.02.2004 r. poz. 377).</w:t>
      </w:r>
    </w:p>
    <w:p>
      <w:pPr>
        <w:pStyle w:val="BodyText"/>
        <w:spacing w:lineRule="auto" w:line="360" w:before="0" w:after="0"/>
        <w:ind w:firstLine="709"/>
        <w:jc w:val="both"/>
        <w:rPr>
          <w:rFonts w:ascii="Calibri" w:hAnsi="Calibri" w:eastAsia="Times New Roman CE" w:cs="Times New Roman CE"/>
        </w:rPr>
      </w:pPr>
      <w:r>
        <w:rPr>
          <w:rFonts w:eastAsia="Times New Roman CE" w:cs="Times New Roman CE" w:ascii="Calibri" w:hAnsi="Calibri"/>
        </w:rPr>
        <w:t>Dodatek mieszkaniowy przysługuje osobom, które muszą spełniać następujące warunki:</w:t>
      </w:r>
    </w:p>
    <w:p>
      <w:pPr>
        <w:pStyle w:val="BodyText"/>
        <w:spacing w:lineRule="auto" w:line="360" w:before="0" w:after="0"/>
        <w:jc w:val="both"/>
        <w:rPr>
          <w:rFonts w:ascii="Calibri" w:hAnsi="Calibri" w:eastAsia="Times New Roman CE" w:cs="Times New Roman CE"/>
        </w:rPr>
      </w:pPr>
      <w:r>
        <w:rPr>
          <w:rFonts w:eastAsia="Times New Roman CE" w:cs="Times New Roman CE" w:ascii="Calibri" w:hAnsi="Calibri"/>
        </w:rPr>
        <w:t>- posiadają tytuł prawny do lokalu (najem, podnajem, spółdzielcze prawo do lokalu, własność samodzielnego lokalu mieszkalnego, własność domu jednorodzinnego oraz osoby bez tytułu prawnego oczekujące na przysługujący im lokal zamienny lub socjalny);</w:t>
      </w:r>
    </w:p>
    <w:p>
      <w:pPr>
        <w:pStyle w:val="BodyText"/>
        <w:tabs>
          <w:tab w:val="clear" w:pos="709"/>
          <w:tab w:val="left" w:pos="1080" w:leader="none"/>
        </w:tabs>
        <w:spacing w:lineRule="auto" w:line="360" w:before="0" w:after="0"/>
        <w:jc w:val="both"/>
        <w:rPr/>
      </w:pPr>
      <w:r>
        <w:rPr>
          <w:rStyle w:val="Domylnaczcionkaakapitu"/>
          <w:rFonts w:eastAsia="Times New Roman CE" w:cs="Times New Roman CE" w:ascii="Calibri" w:hAnsi="Calibri"/>
        </w:rPr>
        <w:t xml:space="preserve">- odpowiednia powierzchnia użytkowa lokalu  dla odpowiedniej liczby osób w nim zamieszkujących (dla 1 osoby </w:t>
      </w:r>
      <w:r>
        <w:rPr>
          <w:rStyle w:val="Domylnaczcionkaakapitu"/>
          <w:rFonts w:eastAsia="Times New Roman CE" w:cs="Times New Roman CE" w:ascii="Calibri" w:hAnsi="Calibri"/>
          <w:b/>
          <w:bCs/>
        </w:rPr>
        <w:t>45.5m2</w:t>
      </w:r>
      <w:r>
        <w:rPr>
          <w:rStyle w:val="Domylnaczcionkaakapitu"/>
          <w:rFonts w:eastAsia="Times New Roman CE" w:cs="Times New Roman CE" w:ascii="Calibri" w:hAnsi="Calibri"/>
        </w:rPr>
        <w:t xml:space="preserve">, dla dwóch osób </w:t>
      </w:r>
      <w:r>
        <w:rPr>
          <w:rStyle w:val="Domylnaczcionkaakapitu"/>
          <w:rFonts w:eastAsia="Times New Roman CE" w:cs="Times New Roman CE" w:ascii="Calibri" w:hAnsi="Calibri"/>
          <w:b/>
          <w:bCs/>
        </w:rPr>
        <w:t>52m2,</w:t>
      </w:r>
      <w:r>
        <w:rPr>
          <w:rStyle w:val="Domylnaczcionkaakapitu"/>
          <w:rFonts w:eastAsia="Times New Roman CE" w:cs="Times New Roman CE" w:ascii="Calibri" w:hAnsi="Calibri"/>
        </w:rPr>
        <w:t xml:space="preserve"> dla trzech osób </w:t>
      </w:r>
      <w:r>
        <w:rPr>
          <w:rStyle w:val="Domylnaczcionkaakapitu"/>
          <w:rFonts w:eastAsia="Times New Roman CE" w:cs="Times New Roman CE" w:ascii="Calibri" w:hAnsi="Calibri"/>
          <w:b/>
          <w:bCs/>
        </w:rPr>
        <w:t>58.5m2,</w:t>
      </w:r>
      <w:r>
        <w:rPr>
          <w:rStyle w:val="Domylnaczcionkaakapitu"/>
          <w:rFonts w:eastAsia="Times New Roman CE" w:cs="Times New Roman CE" w:ascii="Calibri" w:hAnsi="Calibri"/>
        </w:rPr>
        <w:t xml:space="preserve"> dla czterech osób </w:t>
      </w:r>
      <w:r>
        <w:rPr>
          <w:rStyle w:val="Domylnaczcionkaakapitu"/>
          <w:rFonts w:eastAsia="Times New Roman CE" w:cs="Times New Roman CE" w:ascii="Calibri" w:hAnsi="Calibri"/>
          <w:b/>
          <w:bCs/>
        </w:rPr>
        <w:t>71.5m2)</w:t>
      </w:r>
      <w:r>
        <w:rPr>
          <w:rStyle w:val="Domylnaczcionkaakapitu"/>
          <w:rFonts w:eastAsia="Times New Roman CE" w:cs="Times New Roman CE" w:ascii="Calibri" w:hAnsi="Calibri"/>
        </w:rPr>
        <w:t>;</w:t>
      </w:r>
    </w:p>
    <w:p>
      <w:pPr>
        <w:pStyle w:val="BodyText"/>
        <w:spacing w:lineRule="auto" w:line="360" w:before="0" w:after="26"/>
        <w:jc w:val="both"/>
        <w:rPr/>
      </w:pPr>
      <w:r>
        <w:rPr>
          <w:rStyle w:val="Domylnaczcionkaakapitu"/>
          <w:rFonts w:eastAsia="Times New Roman CE" w:cs="Times New Roman CE" w:ascii="Calibri" w:hAnsi="Calibri"/>
        </w:rPr>
        <w:t>- średni miesięczny dochód na jednego członka gospodarstwa domowego w okresie trzech miesięcy poprzedzających datę złożenia wniosku o przyznanie dodatku mieszkaniowego nie przekraczał</w:t>
      </w:r>
      <w:r>
        <w:rPr>
          <w:rStyle w:val="Domylnaczcionkaakapitu"/>
          <w:rFonts w:eastAsia="Times New Roman CE" w:cs="Times New Roman" w:ascii="Calibri" w:hAnsi="Calibri"/>
        </w:rPr>
        <w:t xml:space="preserve"> </w:t>
        <w:br/>
        <w:t>w gospodarstwie</w:t>
      </w:r>
      <w:bookmarkStart w:id="0" w:name="page34R_mcid4111_kopia_1"/>
      <w:bookmarkEnd w:id="0"/>
      <w:r>
        <w:rPr>
          <w:rStyle w:val="Domylnaczcionkaakapitu"/>
          <w:rFonts w:eastAsia="Times New Roman CE" w:cs="Times New Roman" w:ascii="Calibri" w:hAnsi="Calibri"/>
        </w:rPr>
        <w:t xml:space="preserve">  jednoosobowym – 40%,</w:t>
      </w:r>
      <w:bookmarkStart w:id="1" w:name="page34R_mcid5111_kopia_1"/>
      <w:bookmarkEnd w:id="1"/>
      <w:r>
        <w:rPr>
          <w:rStyle w:val="Domylnaczcionkaakapitu"/>
          <w:rFonts w:eastAsia="Times New Roman CE" w:cs="Times New Roman" w:ascii="Calibri" w:hAnsi="Calibri"/>
        </w:rPr>
        <w:t xml:space="preserve"> a wieloosobowym – 30%  przeciętnego wynagrodzenia </w:t>
        <w:br/>
        <w:t xml:space="preserve">w gospodarce narodowej, obowiązującego w dniu złożenia wniosku. Były to kwoty odpowiednio </w:t>
        <w:br/>
      </w:r>
      <w:r>
        <w:rPr>
          <w:rStyle w:val="Domylnaczcionkaakapitu"/>
          <w:rFonts w:eastAsia="Times New Roman CE" w:cs="Times New Roman" w:ascii="Calibri" w:hAnsi="Calibri"/>
          <w:b/>
          <w:bCs/>
        </w:rPr>
        <w:t xml:space="preserve">2 862,19 zł  i 2 146,64 zł </w:t>
      </w:r>
      <w:r>
        <w:rPr>
          <w:rStyle w:val="Domylnaczcionkaakapitu"/>
          <w:rFonts w:eastAsia="Times New Roman CE" w:cs="Times New Roman" w:ascii="Calibri" w:hAnsi="Calibri"/>
        </w:rPr>
        <w:t>do 29.02.2025 r. a od marca 2025 r</w:t>
      </w:r>
      <w:r>
        <w:rPr>
          <w:rStyle w:val="Domylnaczcionkaakapitu"/>
          <w:rFonts w:eastAsia="Times New Roman CE" w:cs="Times New Roman" w:ascii="Calibri" w:hAnsi="Calibri"/>
          <w:b/>
          <w:bCs/>
        </w:rPr>
        <w:t xml:space="preserve">. 3 272,69 zł i 2 454,52 zł.  </w:t>
      </w:r>
    </w:p>
    <w:p>
      <w:pPr>
        <w:pStyle w:val="BodyText"/>
        <w:spacing w:lineRule="auto" w:line="360" w:before="0" w:after="26"/>
        <w:jc w:val="both"/>
        <w:rPr>
          <w:rFonts w:ascii="Calibri" w:hAnsi="Calibri" w:eastAsia="Times New Roman CE" w:cs="Times New Roman CE"/>
        </w:rPr>
      </w:pPr>
      <w:r>
        <w:rPr>
          <w:rFonts w:eastAsia="Times New Roman CE" w:cs="Times New Roman CE" w:ascii="Calibri" w:hAnsi="Calibri"/>
        </w:rPr>
        <w:tab/>
        <w:t xml:space="preserve">Dodatek mieszkaniowy przyznaje się na wniosek osoby uprawnionej. Do wniosku potwierdzonego przez zarządcę, ubiegający się o w/w formę pomocy składa deklarację                                o dochodach wszystkich członków gospodarstwa domowego za okres pełnych trzech miesięcy  poprzedzających datę złożenia wniosku.                                                                                 </w:t>
      </w:r>
    </w:p>
    <w:p>
      <w:pPr>
        <w:pStyle w:val="BodyText"/>
        <w:spacing w:before="0" w:after="26"/>
        <w:jc w:val="both"/>
        <w:rPr/>
      </w:pPr>
      <w:r>
        <w:rPr>
          <w:rStyle w:val="Domylnaczcionkaakapitu"/>
          <w:rFonts w:eastAsia="Times New Roman CE" w:cs="Times New Roman CE" w:ascii="Calibri" w:hAnsi="Calibri"/>
        </w:rPr>
        <w:tab/>
        <w:t xml:space="preserve">W okresie od 1 stycznia do 31 grudnia 2025 r. do sekcji Dodatków Mieszkaniowych wpłynęło </w:t>
      </w:r>
      <w:r>
        <w:rPr>
          <w:rStyle w:val="Domylnaczcionkaakapitu"/>
          <w:rFonts w:eastAsia="Times New Roman CE" w:cs="Times New Roman CE" w:ascii="Calibri" w:hAnsi="Calibri"/>
          <w:b/>
          <w:bCs/>
        </w:rPr>
        <w:t xml:space="preserve">1 813 </w:t>
      </w:r>
      <w:r>
        <w:rPr>
          <w:rStyle w:val="Domylnaczcionkaakapitu"/>
          <w:rFonts w:eastAsia="Times New Roman CE" w:cs="Times New Roman CE" w:ascii="Calibri" w:hAnsi="Calibri"/>
        </w:rPr>
        <w:t xml:space="preserve">wniosków o przyznanie dodatku mieszkaniowego w wyniku czego wydano </w:t>
      </w:r>
      <w:r>
        <w:rPr>
          <w:rStyle w:val="Domylnaczcionkaakapitu"/>
          <w:rFonts w:eastAsia="Times New Roman CE" w:cs="Times New Roman CE" w:ascii="Calibri" w:hAnsi="Calibri"/>
          <w:b/>
          <w:bCs/>
        </w:rPr>
        <w:t xml:space="preserve">1 817 </w:t>
      </w:r>
      <w:r>
        <w:rPr>
          <w:rStyle w:val="Domylnaczcionkaakapitu"/>
          <w:rFonts w:eastAsia="Times New Roman CE" w:cs="Times New Roman CE" w:ascii="Calibri" w:hAnsi="Calibri"/>
        </w:rPr>
        <w:t xml:space="preserve">decyzji, </w:t>
        <w:br/>
        <w:t>w tym :</w:t>
      </w:r>
    </w:p>
    <w:p>
      <w:pPr>
        <w:pStyle w:val="BodyText"/>
        <w:spacing w:before="0" w:after="26"/>
        <w:jc w:val="both"/>
        <w:rPr>
          <w:rFonts w:ascii="Calibri" w:hAnsi="Calibri" w:eastAsia="Times New Roman CE" w:cs="Times New Roman CE"/>
          <w:b/>
          <w:bCs/>
        </w:rPr>
      </w:pPr>
      <w:r>
        <w:rPr>
          <w:rFonts w:eastAsia="Times New Roman CE" w:cs="Times New Roman CE" w:ascii="Calibri" w:hAnsi="Calibri"/>
          <w:b/>
          <w:bCs/>
        </w:rPr>
      </w:r>
    </w:p>
    <w:tbl>
      <w:tblPr>
        <w:tblW w:w="8458" w:type="dxa"/>
        <w:jc w:val="start"/>
        <w:tblInd w:w="811" w:type="dxa"/>
        <w:tblLayout w:type="fixed"/>
        <w:tblCellMar>
          <w:top w:w="55" w:type="dxa"/>
          <w:start w:w="55" w:type="dxa"/>
          <w:bottom w:w="55" w:type="dxa"/>
          <w:end w:w="55" w:type="dxa"/>
        </w:tblCellMar>
      </w:tblPr>
      <w:tblGrid>
        <w:gridCol w:w="2697"/>
        <w:gridCol w:w="5761"/>
      </w:tblGrid>
      <w:tr>
        <w:trPr/>
        <w:tc>
          <w:tcPr>
            <w:tcW w:w="2697" w:type="dxa"/>
            <w:tcBorders>
              <w:top w:val="single" w:sz="2" w:space="0" w:color="000000"/>
              <w:start w:val="single" w:sz="2" w:space="0" w:color="000000"/>
              <w:bottom w:val="single" w:sz="2" w:space="0" w:color="000000"/>
            </w:tcBorders>
            <w:shd w:fill="FFBF00" w:val="clear"/>
            <w:vAlign w:val="center"/>
          </w:tcPr>
          <w:p>
            <w:pPr>
              <w:pStyle w:val="Zawartotabeli"/>
              <w:snapToGrid w:val="false"/>
              <w:spacing w:lineRule="auto" w:line="360"/>
              <w:jc w:val="center"/>
              <w:rPr>
                <w:rFonts w:ascii="Calibri" w:hAnsi="Calibri"/>
                <w:b/>
                <w:bCs/>
              </w:rPr>
            </w:pPr>
            <w:r>
              <w:rPr>
                <w:rFonts w:ascii="Calibri" w:hAnsi="Calibri"/>
                <w:b/>
                <w:bCs/>
              </w:rPr>
              <w:t>Liczba decyzji</w:t>
            </w:r>
          </w:p>
        </w:tc>
        <w:tc>
          <w:tcPr>
            <w:tcW w:w="5761" w:type="dxa"/>
            <w:tcBorders>
              <w:top w:val="single" w:sz="2" w:space="0" w:color="000000"/>
              <w:start w:val="single" w:sz="2" w:space="0" w:color="000000"/>
              <w:bottom w:val="single" w:sz="2" w:space="0" w:color="000000"/>
              <w:end w:val="single" w:sz="2" w:space="0" w:color="000000"/>
            </w:tcBorders>
            <w:shd w:fill="FFBF00" w:val="clear"/>
            <w:vAlign w:val="center"/>
          </w:tcPr>
          <w:p>
            <w:pPr>
              <w:pStyle w:val="Zawartotabeli"/>
              <w:snapToGrid w:val="false"/>
              <w:spacing w:lineRule="auto" w:line="360"/>
              <w:jc w:val="center"/>
              <w:rPr>
                <w:rFonts w:ascii="Calibri" w:hAnsi="Calibri"/>
                <w:b/>
                <w:bCs/>
              </w:rPr>
            </w:pPr>
            <w:r>
              <w:rPr>
                <w:rFonts w:ascii="Calibri" w:hAnsi="Calibri"/>
                <w:b/>
                <w:bCs/>
              </w:rPr>
              <w:t>Rodzaj decyzji</w:t>
            </w:r>
          </w:p>
        </w:tc>
      </w:tr>
      <w:tr>
        <w:trPr/>
        <w:tc>
          <w:tcPr>
            <w:tcW w:w="2697" w:type="dxa"/>
            <w:tcBorders>
              <w:start w:val="single" w:sz="2" w:space="0" w:color="000000"/>
              <w:bottom w:val="single" w:sz="2" w:space="0" w:color="000000"/>
            </w:tcBorders>
            <w:shd w:fill="ACB20C" w:val="clear"/>
            <w:vAlign w:val="center"/>
          </w:tcPr>
          <w:p>
            <w:pPr>
              <w:pStyle w:val="Normal"/>
              <w:snapToGrid w:val="false"/>
              <w:spacing w:lineRule="auto" w:line="360"/>
              <w:jc w:val="center"/>
              <w:rPr>
                <w:rFonts w:ascii="Calibri" w:hAnsi="Calibri"/>
              </w:rPr>
            </w:pPr>
            <w:r>
              <w:rPr>
                <w:rFonts w:ascii="Calibri" w:hAnsi="Calibri"/>
              </w:rPr>
              <w:t>58</w:t>
            </w:r>
          </w:p>
        </w:tc>
        <w:tc>
          <w:tcPr>
            <w:tcW w:w="5761" w:type="dxa"/>
            <w:tcBorders>
              <w:start w:val="single" w:sz="2" w:space="0" w:color="000000"/>
              <w:bottom w:val="single" w:sz="2" w:space="0" w:color="000000"/>
              <w:end w:val="single" w:sz="2" w:space="0" w:color="000000"/>
            </w:tcBorders>
            <w:shd w:fill="FF8000" w:val="clear"/>
            <w:vAlign w:val="center"/>
          </w:tcPr>
          <w:p>
            <w:pPr>
              <w:pStyle w:val="Normal"/>
              <w:snapToGrid w:val="false"/>
              <w:jc w:val="center"/>
              <w:rPr>
                <w:rFonts w:ascii="Calibri" w:hAnsi="Calibri"/>
              </w:rPr>
            </w:pPr>
            <w:r>
              <w:rPr>
                <w:rFonts w:ascii="Calibri" w:hAnsi="Calibri"/>
              </w:rPr>
              <w:t>decyzje odmowne</w:t>
            </w:r>
          </w:p>
        </w:tc>
      </w:tr>
      <w:tr>
        <w:trPr/>
        <w:tc>
          <w:tcPr>
            <w:tcW w:w="2697" w:type="dxa"/>
            <w:tcBorders>
              <w:start w:val="single" w:sz="2" w:space="0" w:color="000000"/>
              <w:bottom w:val="single" w:sz="2" w:space="0" w:color="000000"/>
            </w:tcBorders>
            <w:shd w:fill="ACB20C" w:val="clear"/>
            <w:vAlign w:val="center"/>
          </w:tcPr>
          <w:p>
            <w:pPr>
              <w:pStyle w:val="Normal"/>
              <w:snapToGrid w:val="false"/>
              <w:spacing w:lineRule="auto" w:line="360"/>
              <w:jc w:val="center"/>
              <w:rPr>
                <w:rFonts w:ascii="Calibri" w:hAnsi="Calibri"/>
              </w:rPr>
            </w:pPr>
            <w:r>
              <w:rPr>
                <w:rFonts w:ascii="Calibri" w:hAnsi="Calibri"/>
              </w:rPr>
              <w:t>1 747</w:t>
            </w:r>
          </w:p>
        </w:tc>
        <w:tc>
          <w:tcPr>
            <w:tcW w:w="5761" w:type="dxa"/>
            <w:tcBorders>
              <w:start w:val="single" w:sz="2" w:space="0" w:color="000000"/>
              <w:bottom w:val="single" w:sz="2" w:space="0" w:color="000000"/>
              <w:end w:val="single" w:sz="2" w:space="0" w:color="000000"/>
            </w:tcBorders>
            <w:shd w:fill="FF8000" w:val="clear"/>
            <w:vAlign w:val="center"/>
          </w:tcPr>
          <w:p>
            <w:pPr>
              <w:pStyle w:val="Normal"/>
              <w:snapToGrid w:val="false"/>
              <w:spacing w:lineRule="auto" w:line="360"/>
              <w:jc w:val="center"/>
              <w:rPr>
                <w:rFonts w:ascii="Calibri" w:hAnsi="Calibri"/>
              </w:rPr>
            </w:pPr>
            <w:r>
              <w:rPr>
                <w:rFonts w:ascii="Calibri" w:hAnsi="Calibri"/>
              </w:rPr>
              <w:t>decyzje przyznające</w:t>
            </w:r>
          </w:p>
        </w:tc>
      </w:tr>
      <w:tr>
        <w:trPr/>
        <w:tc>
          <w:tcPr>
            <w:tcW w:w="2697" w:type="dxa"/>
            <w:tcBorders>
              <w:start w:val="single" w:sz="2" w:space="0" w:color="000000"/>
              <w:bottom w:val="single" w:sz="2" w:space="0" w:color="000000"/>
            </w:tcBorders>
            <w:shd w:fill="ACB20C" w:val="clear"/>
            <w:vAlign w:val="center"/>
          </w:tcPr>
          <w:p>
            <w:pPr>
              <w:pStyle w:val="Normal"/>
              <w:snapToGrid w:val="false"/>
              <w:spacing w:lineRule="auto" w:line="360"/>
              <w:jc w:val="center"/>
              <w:rPr>
                <w:rFonts w:ascii="Calibri" w:hAnsi="Calibri"/>
              </w:rPr>
            </w:pPr>
            <w:r>
              <w:rPr>
                <w:rFonts w:ascii="Calibri" w:hAnsi="Calibri"/>
              </w:rPr>
              <w:t>1</w:t>
            </w:r>
          </w:p>
        </w:tc>
        <w:tc>
          <w:tcPr>
            <w:tcW w:w="5761" w:type="dxa"/>
            <w:tcBorders>
              <w:start w:val="single" w:sz="2" w:space="0" w:color="000000"/>
              <w:bottom w:val="single" w:sz="2" w:space="0" w:color="000000"/>
              <w:end w:val="single" w:sz="2" w:space="0" w:color="000000"/>
            </w:tcBorders>
            <w:shd w:fill="FF8000" w:val="clear"/>
            <w:vAlign w:val="center"/>
          </w:tcPr>
          <w:p>
            <w:pPr>
              <w:pStyle w:val="Normal"/>
              <w:snapToGrid w:val="false"/>
              <w:spacing w:lineRule="auto" w:line="360"/>
              <w:jc w:val="center"/>
              <w:rPr>
                <w:rFonts w:ascii="Calibri" w:hAnsi="Calibri"/>
              </w:rPr>
            </w:pPr>
            <w:r>
              <w:rPr>
                <w:rFonts w:ascii="Calibri" w:hAnsi="Calibri"/>
              </w:rPr>
              <w:t>decyzje zmieniające wysokość dodatku</w:t>
            </w:r>
          </w:p>
        </w:tc>
      </w:tr>
      <w:tr>
        <w:trPr/>
        <w:tc>
          <w:tcPr>
            <w:tcW w:w="2697" w:type="dxa"/>
            <w:tcBorders>
              <w:start w:val="single" w:sz="2" w:space="0" w:color="000000"/>
              <w:bottom w:val="single" w:sz="2" w:space="0" w:color="000000"/>
            </w:tcBorders>
            <w:shd w:fill="ACB20C" w:val="clear"/>
            <w:vAlign w:val="center"/>
          </w:tcPr>
          <w:p>
            <w:pPr>
              <w:pStyle w:val="Normal"/>
              <w:snapToGrid w:val="false"/>
              <w:spacing w:lineRule="auto" w:line="360"/>
              <w:jc w:val="center"/>
              <w:rPr>
                <w:rFonts w:ascii="Calibri" w:hAnsi="Calibri"/>
              </w:rPr>
            </w:pPr>
            <w:r>
              <w:rPr>
                <w:rFonts w:ascii="Calibri" w:hAnsi="Calibri"/>
              </w:rPr>
              <w:t>11</w:t>
            </w:r>
          </w:p>
        </w:tc>
        <w:tc>
          <w:tcPr>
            <w:tcW w:w="5761" w:type="dxa"/>
            <w:tcBorders>
              <w:start w:val="single" w:sz="2" w:space="0" w:color="000000"/>
              <w:bottom w:val="single" w:sz="2" w:space="0" w:color="000000"/>
              <w:end w:val="single" w:sz="2" w:space="0" w:color="000000"/>
            </w:tcBorders>
            <w:shd w:fill="FF8000" w:val="clear"/>
            <w:vAlign w:val="center"/>
          </w:tcPr>
          <w:p>
            <w:pPr>
              <w:pStyle w:val="Normal"/>
              <w:snapToGrid w:val="false"/>
              <w:spacing w:lineRule="auto" w:line="360"/>
              <w:jc w:val="center"/>
              <w:rPr>
                <w:rFonts w:ascii="Calibri" w:hAnsi="Calibri"/>
              </w:rPr>
            </w:pPr>
            <w:r>
              <w:rPr>
                <w:rFonts w:ascii="Calibri" w:hAnsi="Calibri"/>
              </w:rPr>
              <w:t>umorzenie postępowania</w:t>
            </w:r>
          </w:p>
        </w:tc>
      </w:tr>
    </w:tbl>
    <w:p>
      <w:pPr>
        <w:pStyle w:val="Normal"/>
        <w:spacing w:lineRule="auto" w:line="276" w:before="0" w:after="26"/>
        <w:jc w:val="both"/>
        <w:rPr>
          <w:rFonts w:ascii="Calibri" w:hAnsi="Calibri" w:eastAsia="Times New Roman CE" w:cs="Times New Roman CE"/>
          <w:b/>
          <w:bCs/>
        </w:rPr>
      </w:pPr>
      <w:r>
        <w:rPr>
          <w:rFonts w:eastAsia="Times New Roman CE" w:cs="Times New Roman CE" w:ascii="Calibri" w:hAnsi="Calibri"/>
          <w:b/>
          <w:bCs/>
        </w:rPr>
      </w:r>
    </w:p>
    <w:p>
      <w:pPr>
        <w:pStyle w:val="BodyText"/>
        <w:spacing w:before="0" w:after="26"/>
        <w:ind w:firstLine="709"/>
        <w:jc w:val="both"/>
        <w:rPr/>
      </w:pPr>
      <w:r>
        <w:rPr>
          <w:rStyle w:val="Domylnaczcionkaakapitu"/>
          <w:rFonts w:eastAsia="Times New Roman CE" w:cs="Times New Roman CE" w:ascii="Calibri" w:hAnsi="Calibri"/>
        </w:rPr>
        <w:t xml:space="preserve">Od 1 stycznia do 31 grudnia 2025 r. z dodatku mieszkaniowego skorzystało  </w:t>
      </w:r>
      <w:r>
        <w:rPr>
          <w:rStyle w:val="Domylnaczcionkaakapitu"/>
          <w:rFonts w:eastAsia="Times New Roman CE" w:cs="Times New Roman CE" w:ascii="Calibri" w:hAnsi="Calibri"/>
          <w:b/>
          <w:bCs/>
        </w:rPr>
        <w:t>1 089 rodzin</w:t>
      </w:r>
      <w:r>
        <w:rPr>
          <w:rStyle w:val="Domylnaczcionkaakapitu"/>
          <w:rFonts w:eastAsia="Times New Roman CE" w:cs="Times New Roman CE" w:ascii="Calibri" w:hAnsi="Calibri"/>
        </w:rPr>
        <w:t>.</w:t>
      </w:r>
    </w:p>
    <w:p>
      <w:pPr>
        <w:pStyle w:val="BodyText"/>
        <w:spacing w:before="0" w:after="26"/>
        <w:jc w:val="both"/>
        <w:rPr/>
      </w:pPr>
      <w:r>
        <w:rPr>
          <w:rStyle w:val="Domylnaczcionkaakapitu"/>
          <w:rFonts w:eastAsia="Times New Roman CE" w:cs="Times New Roman CE" w:ascii="Calibri" w:hAnsi="Calibri"/>
        </w:rPr>
        <w:t xml:space="preserve">Na wypłatę dodatków mieszkaniowych w 2025 r. wydatkowano </w:t>
      </w:r>
      <w:r>
        <w:rPr>
          <w:rStyle w:val="Domylnaczcionkaakapitu"/>
          <w:rFonts w:eastAsia="Times New Roman CE" w:cs="Times New Roman CE" w:ascii="Calibri" w:hAnsi="Calibri"/>
          <w:b/>
          <w:bCs/>
        </w:rPr>
        <w:t>3 250 324,01 zł.</w:t>
      </w:r>
    </w:p>
    <w:p>
      <w:pPr>
        <w:pStyle w:val="BodyText"/>
        <w:spacing w:before="0" w:after="26"/>
        <w:jc w:val="both"/>
        <w:rPr/>
      </w:pPr>
      <w:r>
        <w:rPr>
          <w:rStyle w:val="Domylnaczcionkaakapitu"/>
          <w:rFonts w:eastAsia="Times New Roman CE" w:cs="Times New Roman CE" w:ascii="Calibri" w:hAnsi="Calibri"/>
        </w:rPr>
        <w:t xml:space="preserve">Najmniejszy przyznany dodatek wynosił  </w:t>
      </w:r>
      <w:r>
        <w:rPr>
          <w:rStyle w:val="Domylnaczcionkaakapitu"/>
          <w:rFonts w:eastAsia="Times New Roman CE" w:cs="Times New Roman CE" w:ascii="Calibri" w:hAnsi="Calibri"/>
          <w:b/>
          <w:bCs/>
        </w:rPr>
        <w:t>38,57 zł</w:t>
      </w:r>
      <w:r>
        <w:rPr>
          <w:rStyle w:val="Domylnaczcionkaakapitu"/>
          <w:rFonts w:eastAsia="Times New Roman CE" w:cs="Times New Roman CE" w:ascii="Calibri" w:hAnsi="Calibri"/>
        </w:rPr>
        <w:t xml:space="preserve"> a największy</w:t>
      </w:r>
      <w:r>
        <w:rPr>
          <w:rStyle w:val="Domylnaczcionkaakapitu"/>
          <w:rFonts w:eastAsia="Times New Roman CE" w:cs="Times New Roman CE" w:ascii="Calibri" w:hAnsi="Calibri"/>
          <w:b/>
          <w:bCs/>
        </w:rPr>
        <w:t xml:space="preserve"> 1 129,89  zł. </w:t>
      </w:r>
      <w:r>
        <w:rPr>
          <w:rStyle w:val="Domylnaczcionkaakapitu"/>
          <w:rFonts w:eastAsia="Times New Roman CE" w:cs="Times New Roman CE" w:ascii="Calibri" w:hAnsi="Calibri"/>
        </w:rPr>
        <w:t xml:space="preserve">  </w:t>
      </w:r>
    </w:p>
    <w:p>
      <w:pPr>
        <w:pStyle w:val="BodyText"/>
        <w:spacing w:before="0" w:after="26"/>
        <w:jc w:val="both"/>
        <w:rPr>
          <w:rFonts w:ascii="Calibri" w:hAnsi="Calibri" w:eastAsia="Times New Roman CE" w:cs="Times New Roman CE"/>
        </w:rPr>
      </w:pPr>
      <w:r>
        <w:rPr>
          <w:rFonts w:eastAsia="Times New Roman CE" w:cs="Times New Roman CE" w:ascii="Calibri" w:hAnsi="Calibri"/>
        </w:rPr>
      </w:r>
    </w:p>
    <w:p>
      <w:pPr>
        <w:pStyle w:val="BodyText"/>
        <w:spacing w:before="0" w:after="26"/>
        <w:jc w:val="both"/>
        <w:rPr>
          <w:rFonts w:ascii="Calibri" w:hAnsi="Calibri" w:eastAsia="Times New Roman CE" w:cs="Times New Roman CE"/>
        </w:rPr>
      </w:pPr>
      <w:r>
        <w:rPr>
          <w:rFonts w:eastAsia="Times New Roman CE" w:cs="Times New Roman CE" w:ascii="Calibri" w:hAnsi="Calibri"/>
        </w:rPr>
        <w:t>Dodatek mieszkaniowy przyznaje się na okres 6 miesięcy, licząc od pierwszego dnia miesiąca następującego po złożeniu wniosku w Miejskim Ośrodku Pomocy Społecznej.</w:t>
      </w:r>
    </w:p>
    <w:p>
      <w:pPr>
        <w:pStyle w:val="BodyText"/>
        <w:spacing w:before="0" w:after="26"/>
        <w:jc w:val="both"/>
        <w:rPr/>
      </w:pPr>
      <w:r>
        <w:rPr>
          <w:rStyle w:val="Domylnaczcionkaakapitu"/>
          <w:rFonts w:eastAsia="Times New Roman CE" w:cs="Times New Roman CE" w:ascii="Calibri" w:hAnsi="Calibri"/>
        </w:rPr>
        <w:t xml:space="preserve">Łącznie w 2025 r. wydano </w:t>
      </w:r>
      <w:r>
        <w:rPr>
          <w:rStyle w:val="Domylnaczcionkaakapitu"/>
          <w:rFonts w:eastAsia="Times New Roman CE" w:cs="Times New Roman CE" w:ascii="Calibri" w:hAnsi="Calibri"/>
          <w:b/>
          <w:bCs/>
        </w:rPr>
        <w:t xml:space="preserve">1 901 </w:t>
      </w:r>
      <w:r>
        <w:rPr>
          <w:rStyle w:val="Domylnaczcionkaakapitu"/>
          <w:rFonts w:eastAsia="Times New Roman CE" w:cs="Times New Roman CE" w:ascii="Calibri" w:hAnsi="Calibri"/>
        </w:rPr>
        <w:t>decyzji.</w:t>
      </w:r>
    </w:p>
    <w:p>
      <w:pPr>
        <w:pStyle w:val="BodyText"/>
        <w:spacing w:before="0" w:after="26"/>
        <w:jc w:val="both"/>
        <w:rPr>
          <w:rFonts w:ascii="Calibri" w:hAnsi="Calibri" w:eastAsia="Times New Roman CE" w:cs="Times New Roman CE"/>
        </w:rPr>
      </w:pPr>
      <w:r>
        <w:rPr>
          <w:rFonts w:eastAsia="Times New Roman CE" w:cs="Times New Roman CE" w:ascii="Calibri" w:hAnsi="Calibri"/>
        </w:rPr>
      </w:r>
    </w:p>
    <w:p>
      <w:pPr>
        <w:pStyle w:val="BodyText"/>
        <w:spacing w:before="0" w:after="0"/>
        <w:jc w:val="both"/>
        <w:rPr/>
      </w:pPr>
      <w:r>
        <w:rPr>
          <w:rStyle w:val="Domylnaczcionkaakapitu"/>
          <w:rFonts w:eastAsia="Times New Roman" w:cs="Times New Roman" w:ascii="Calibri" w:hAnsi="Calibri"/>
          <w:b/>
          <w:bCs/>
          <w:color w:val="000000"/>
        </w:rPr>
        <w:t xml:space="preserve">  </w:t>
      </w:r>
      <w:r>
        <w:rPr>
          <w:rStyle w:val="Domylnaczcionkaakapitu"/>
          <w:rFonts w:eastAsia="Times New Roman" w:cs="Times New Roman" w:ascii="Calibri" w:hAnsi="Calibri"/>
          <w:b/>
          <w:bCs/>
          <w:color w:val="000000"/>
        </w:rPr>
        <w:t>Stypendia i zasiłki  szkolne</w:t>
      </w:r>
    </w:p>
    <w:p>
      <w:pPr>
        <w:pStyle w:val="Normal"/>
        <w:spacing w:lineRule="auto" w:line="360"/>
        <w:ind w:firstLine="708"/>
        <w:jc w:val="both"/>
        <w:rPr/>
      </w:pPr>
      <w:r>
        <w:rPr>
          <w:rStyle w:val="Domylnaczcionkaakapitu"/>
          <w:rFonts w:ascii="Calibri" w:hAnsi="Calibri"/>
        </w:rPr>
        <w:t xml:space="preserve">Miejski Ośrodek Pomocy Społecznej Dział Pomocy Społecznej - Sekcja Dodatków Mieszkaniowych, Stypendiów  i Zasiłków Szkolnych jako organ właściwy realizuje zadania </w:t>
        <w:br/>
        <w:t xml:space="preserve">w zakresie przyznawania  świadczenia materialnego o charakterze socjalnym. Stypendium szkolne jest jedną z form pomocy społecznej, które przyznaje się na podstawie ustawy  o systemie oświaty </w:t>
        <w:br/>
        <w:t xml:space="preserve">z dnia 7 września 1991 r. ( Dz.U. z 2025 r. poz. 881) oraz ustawy o pomocy społecznej art.8 ust.1 pkt. 2 z dnia 12 marca 2004 r. ( Dz.U. z 2025 r. poz. 1214 ze zm.) w </w:t>
      </w:r>
      <w:r>
        <w:rPr>
          <w:rStyle w:val="Domylnaczcionkaakapitu"/>
          <w:rFonts w:ascii="Calibri" w:hAnsi="Calibri"/>
          <w:b/>
        </w:rPr>
        <w:t xml:space="preserve"> </w:t>
      </w:r>
      <w:r>
        <w:rPr>
          <w:rStyle w:val="Domylnaczcionkaakapitu"/>
          <w:rFonts w:ascii="Calibri" w:hAnsi="Calibri"/>
          <w:bCs/>
        </w:rPr>
        <w:t>związku z Rozporządzeniem Rady Ministrów z dnia 12 lipca 2024 r.  w sprawie zweryfikowanych kryteriów dochodowych oraz kwot świadczeń pieniężnych  z  pomocy społecznej (Dz. U. 2024 poz. 1044).</w:t>
      </w:r>
    </w:p>
    <w:p>
      <w:pPr>
        <w:pStyle w:val="Normal"/>
        <w:spacing w:lineRule="auto" w:line="360"/>
        <w:ind w:firstLine="708"/>
        <w:jc w:val="both"/>
        <w:rPr>
          <w:rFonts w:ascii="Calibri" w:hAnsi="Calibri"/>
        </w:rPr>
      </w:pPr>
      <w:r>
        <w:rPr>
          <w:rFonts w:ascii="Calibri" w:hAnsi="Calibri"/>
        </w:rPr>
      </w:r>
    </w:p>
    <w:p>
      <w:pPr>
        <w:pStyle w:val="Normal"/>
        <w:spacing w:lineRule="auto" w:line="360"/>
        <w:jc w:val="both"/>
        <w:rPr>
          <w:rFonts w:ascii="Calibri" w:hAnsi="Calibri"/>
        </w:rPr>
      </w:pPr>
      <w:r>
        <w:rPr>
          <w:rFonts w:ascii="Calibri" w:hAnsi="Calibri"/>
        </w:rPr>
        <w:t>Stypendium szkolne może otrzymać uczeń znajdujący się w trudnej sytuacji materialnej, wynikającej z niskich dochodów na osobę w rodzinie, w szczególności gdy występuje: bezrobocie, niepełnosprawność, ciężka lub długotrwała choroba, wielodzietność, brak umiejętności wypełniania funkcji opiekuńczo-wychowawczych, alkoholizm lub narkomania, a także gdy rodzina jest niepełna lub wystąpiło zdarzenie losowe.</w:t>
      </w:r>
    </w:p>
    <w:p>
      <w:pPr>
        <w:pStyle w:val="Normal"/>
        <w:spacing w:lineRule="auto" w:line="276"/>
        <w:ind w:firstLine="708"/>
        <w:jc w:val="both"/>
        <w:rPr>
          <w:rFonts w:ascii="Calibri" w:hAnsi="Calibri"/>
        </w:rPr>
      </w:pPr>
      <w:r>
        <w:rPr>
          <w:rFonts w:ascii="Calibri" w:hAnsi="Calibri"/>
        </w:rPr>
        <w:t xml:space="preserve"> </w:t>
      </w:r>
    </w:p>
    <w:p>
      <w:pPr>
        <w:pStyle w:val="Normal"/>
        <w:spacing w:lineRule="auto" w:line="276"/>
        <w:jc w:val="both"/>
        <w:rPr>
          <w:rFonts w:ascii="Calibri" w:hAnsi="Calibri"/>
          <w:b/>
          <w:bCs/>
        </w:rPr>
      </w:pPr>
      <w:r>
        <w:rPr>
          <w:rFonts w:ascii="Calibri" w:hAnsi="Calibri"/>
          <w:b/>
          <w:bCs/>
        </w:rPr>
        <w:t>Stypendium szkolne może być udzielane w następujących formach:</w:t>
      </w:r>
    </w:p>
    <w:p>
      <w:pPr>
        <w:pStyle w:val="Normal"/>
        <w:spacing w:lineRule="auto" w:line="276"/>
        <w:jc w:val="both"/>
        <w:rPr>
          <w:rFonts w:ascii="Calibri" w:hAnsi="Calibri"/>
          <w:b/>
          <w:bCs/>
        </w:rPr>
      </w:pPr>
      <w:r>
        <w:rPr>
          <w:rFonts w:ascii="Calibri" w:hAnsi="Calibri"/>
          <w:b/>
          <w:bCs/>
        </w:rPr>
      </w:r>
    </w:p>
    <w:p>
      <w:pPr>
        <w:pStyle w:val="Normal"/>
        <w:numPr>
          <w:ilvl w:val="0"/>
          <w:numId w:val="23"/>
        </w:numPr>
        <w:spacing w:lineRule="auto" w:line="360"/>
        <w:jc w:val="both"/>
        <w:rPr>
          <w:rFonts w:ascii="Calibri" w:hAnsi="Calibri"/>
        </w:rPr>
      </w:pPr>
      <w:r>
        <w:rPr>
          <w:rFonts w:ascii="Calibri" w:hAnsi="Calibri"/>
        </w:rPr>
        <w:t>całkowitego lub częściowego  pokrycia   kosztów udziału  w zajęciach   edukacyjnych,</w:t>
      </w:r>
    </w:p>
    <w:p>
      <w:pPr>
        <w:pStyle w:val="Normal"/>
        <w:tabs>
          <w:tab w:val="clear" w:pos="709"/>
        </w:tabs>
        <w:spacing w:lineRule="auto" w:line="360"/>
        <w:ind w:start="708"/>
        <w:jc w:val="both"/>
        <w:rPr>
          <w:rFonts w:ascii="Calibri" w:hAnsi="Calibri"/>
        </w:rPr>
      </w:pPr>
      <w:r>
        <w:rPr>
          <w:rFonts w:ascii="Calibri" w:hAnsi="Calibri"/>
        </w:rPr>
        <w:t>w tym wyrównawczych, wykraczających poza zajęcia realizowane w szkole w ramach planu nauczania, a także udziału w zajęciach edukacyjnych realizowanych poza szkołą;</w:t>
      </w:r>
    </w:p>
    <w:p>
      <w:pPr>
        <w:pStyle w:val="Normal"/>
        <w:numPr>
          <w:ilvl w:val="0"/>
          <w:numId w:val="8"/>
        </w:numPr>
        <w:spacing w:lineRule="auto" w:line="360"/>
        <w:jc w:val="both"/>
        <w:rPr>
          <w:rFonts w:ascii="Calibri" w:hAnsi="Calibri"/>
        </w:rPr>
      </w:pPr>
      <w:r>
        <w:rPr>
          <w:rFonts w:ascii="Calibri" w:hAnsi="Calibri"/>
        </w:rPr>
        <w:t>pomocy rzeczowej o charakterze edukacyjnym, w tym w szczególności  zakupu podręczników.</w:t>
      </w:r>
    </w:p>
    <w:p>
      <w:pPr>
        <w:pStyle w:val="Normal"/>
        <w:tabs>
          <w:tab w:val="clear" w:pos="709"/>
        </w:tabs>
        <w:spacing w:lineRule="auto" w:line="360"/>
        <w:ind w:start="360"/>
        <w:jc w:val="both"/>
        <w:rPr>
          <w:rFonts w:ascii="Calibri" w:hAnsi="Calibri"/>
        </w:rPr>
      </w:pPr>
      <w:r>
        <w:rPr>
          <w:rFonts w:ascii="Calibri" w:hAnsi="Calibri"/>
        </w:rPr>
      </w:r>
    </w:p>
    <w:p>
      <w:pPr>
        <w:pStyle w:val="Normal"/>
        <w:spacing w:lineRule="auto" w:line="360"/>
        <w:jc w:val="both"/>
        <w:rPr>
          <w:rFonts w:ascii="Calibri" w:hAnsi="Calibri"/>
        </w:rPr>
      </w:pPr>
      <w:r>
        <w:rPr>
          <w:rFonts w:ascii="Calibri" w:hAnsi="Calibri"/>
        </w:rPr>
        <w:tab/>
        <w:t>Wniosek o przyznanie stypendium szkolnego składa się do dnia 15 września danego roku szkolnego, a w przypadku słuchaczy kolegiów nauczycielskich, nauczycielskich kolegiów języków obcych i kolegiów pracowników służb społecznych – do dnia 15 października danego roku szkolnego.</w:t>
      </w:r>
    </w:p>
    <w:p>
      <w:pPr>
        <w:pStyle w:val="Normal"/>
        <w:spacing w:lineRule="auto" w:line="360"/>
        <w:jc w:val="both"/>
        <w:rPr>
          <w:rFonts w:ascii="Calibri" w:hAnsi="Calibri"/>
        </w:rPr>
      </w:pPr>
      <w:r>
        <w:rPr>
          <w:rFonts w:ascii="Calibri" w:hAnsi="Calibri"/>
        </w:rPr>
        <w:tab/>
        <w:t xml:space="preserve">Decyzje wydawane są na dany rok szkolny tj; od miesiąca września do czerwca i płatne  </w:t>
        <w:br/>
        <w:t>w dwóch transzach – I transza  płatna do 20 grudnia, II transza płatna do 25 czerwca.</w:t>
      </w:r>
    </w:p>
    <w:p>
      <w:pPr>
        <w:pStyle w:val="Normal"/>
        <w:spacing w:lineRule="auto" w:line="360"/>
        <w:ind w:firstLine="360"/>
        <w:jc w:val="both"/>
        <w:rPr>
          <w:rFonts w:ascii="Calibri" w:hAnsi="Calibri"/>
        </w:rPr>
      </w:pPr>
      <w:r>
        <w:rPr>
          <w:rFonts w:ascii="Calibri" w:hAnsi="Calibri"/>
        </w:rPr>
      </w:r>
    </w:p>
    <w:p>
      <w:pPr>
        <w:pStyle w:val="Normal"/>
        <w:spacing w:lineRule="auto" w:line="360"/>
        <w:ind w:firstLine="709"/>
        <w:jc w:val="both"/>
        <w:rPr/>
      </w:pPr>
      <w:r>
        <w:rPr>
          <w:rStyle w:val="Domylnaczcionkaakapitu"/>
          <w:rFonts w:ascii="Calibri" w:hAnsi="Calibri"/>
          <w:b/>
          <w:bCs/>
        </w:rPr>
        <w:t xml:space="preserve">Zasiłek szkolny </w:t>
      </w:r>
      <w:r>
        <w:rPr>
          <w:rStyle w:val="Domylnaczcionkaakapitu"/>
          <w:rFonts w:ascii="Calibri" w:hAnsi="Calibri"/>
        </w:rPr>
        <w:t>może być przyznany uczniowi znajdującemu się przejściowo w trudnej sytuacji materialnej z powodu zdarzenia losowego.</w:t>
      </w:r>
    </w:p>
    <w:p>
      <w:pPr>
        <w:pStyle w:val="Normal"/>
        <w:spacing w:lineRule="auto" w:line="360"/>
        <w:ind w:firstLine="709"/>
        <w:jc w:val="both"/>
        <w:rPr>
          <w:rFonts w:ascii="Calibri" w:hAnsi="Calibri"/>
        </w:rPr>
      </w:pPr>
      <w:r>
        <w:rPr>
          <w:rFonts w:ascii="Calibri" w:hAnsi="Calibri"/>
        </w:rPr>
        <w:t>Zasiłek szkolny może być przyznany w formie świadczenia pieniężnego na pokrycie wydatków związanych z procesem edukacyjnym lub w formie pomocy rzeczowej  o charakterze edukacyjnym, raz lub kilka razy w roku, niezależnie od otrzymanego stypendium szkolnego.</w:t>
      </w:r>
    </w:p>
    <w:p>
      <w:pPr>
        <w:pStyle w:val="Normal"/>
        <w:spacing w:lineRule="auto" w:line="360"/>
        <w:jc w:val="both"/>
        <w:rPr>
          <w:rFonts w:ascii="Calibri" w:hAnsi="Calibri"/>
        </w:rPr>
      </w:pPr>
      <w:r>
        <w:rPr>
          <w:rFonts w:ascii="Calibri" w:hAnsi="Calibri"/>
        </w:rPr>
      </w:r>
    </w:p>
    <w:p>
      <w:pPr>
        <w:pStyle w:val="Normal"/>
        <w:spacing w:lineRule="auto" w:line="360"/>
        <w:jc w:val="both"/>
        <w:rPr>
          <w:rFonts w:ascii="Calibri" w:hAnsi="Calibri"/>
        </w:rPr>
      </w:pPr>
      <w:r>
        <w:rPr>
          <w:rFonts w:ascii="Calibri" w:hAnsi="Calibri"/>
        </w:rPr>
        <w:t>Na realizację zadania w formie stypendiów i zasiłków szkolnych</w:t>
      </w:r>
    </w:p>
    <w:p>
      <w:pPr>
        <w:pStyle w:val="Normal"/>
        <w:spacing w:lineRule="auto" w:line="360"/>
        <w:jc w:val="both"/>
        <w:rPr/>
      </w:pPr>
      <w:r>
        <w:rPr>
          <w:rStyle w:val="Domylnaczcionkaakapitu"/>
          <w:rFonts w:ascii="Calibri" w:hAnsi="Calibri"/>
        </w:rPr>
        <w:t xml:space="preserve">wydatkowano kwotę  </w:t>
      </w:r>
      <w:r>
        <w:rPr>
          <w:rStyle w:val="Domylnaczcionkaakapitu"/>
          <w:rFonts w:ascii="Calibri" w:hAnsi="Calibri"/>
          <w:b/>
          <w:bCs/>
        </w:rPr>
        <w:t>167 554,15 zł</w:t>
      </w:r>
      <w:r>
        <w:rPr>
          <w:rStyle w:val="Domylnaczcionkaakapitu"/>
          <w:rFonts w:ascii="Calibri" w:hAnsi="Calibri"/>
        </w:rPr>
        <w:t xml:space="preserve"> w tym:</w:t>
      </w:r>
    </w:p>
    <w:p>
      <w:pPr>
        <w:pStyle w:val="Normal"/>
        <w:numPr>
          <w:ilvl w:val="0"/>
          <w:numId w:val="24"/>
        </w:numPr>
        <w:spacing w:lineRule="auto" w:line="360"/>
        <w:jc w:val="both"/>
        <w:rPr/>
      </w:pPr>
      <w:r>
        <w:rPr>
          <w:rStyle w:val="Domylnaczcionkaakapitu"/>
          <w:rFonts w:ascii="Calibri" w:hAnsi="Calibri"/>
        </w:rPr>
        <w:t xml:space="preserve">na stypendia </w:t>
      </w:r>
      <w:r>
        <w:rPr>
          <w:rStyle w:val="Domylnaczcionkaakapitu"/>
          <w:rFonts w:ascii="Calibri" w:hAnsi="Calibri"/>
          <w:b/>
          <w:bCs/>
        </w:rPr>
        <w:t>165 154,15 zł</w:t>
      </w:r>
      <w:r>
        <w:rPr>
          <w:rStyle w:val="Domylnaczcionkaakapitu"/>
          <w:rFonts w:ascii="Calibri" w:hAnsi="Calibri"/>
        </w:rPr>
        <w:t>;</w:t>
      </w:r>
    </w:p>
    <w:p>
      <w:pPr>
        <w:pStyle w:val="Normal"/>
        <w:numPr>
          <w:ilvl w:val="0"/>
          <w:numId w:val="9"/>
        </w:numPr>
        <w:spacing w:lineRule="auto" w:line="360"/>
        <w:jc w:val="both"/>
        <w:rPr/>
      </w:pPr>
      <w:r>
        <w:rPr>
          <w:rStyle w:val="Domylnaczcionkaakapitu"/>
          <w:rFonts w:ascii="Calibri" w:hAnsi="Calibri"/>
        </w:rPr>
        <w:t xml:space="preserve">na zasiłki szkolne  </w:t>
      </w:r>
      <w:r>
        <w:rPr>
          <w:rStyle w:val="Domylnaczcionkaakapitu"/>
          <w:rFonts w:ascii="Calibri" w:hAnsi="Calibri"/>
          <w:b/>
          <w:bCs/>
        </w:rPr>
        <w:t>2 400,00 zł.</w:t>
      </w:r>
    </w:p>
    <w:p>
      <w:pPr>
        <w:pStyle w:val="Normal"/>
        <w:spacing w:lineRule="auto" w:line="360"/>
        <w:jc w:val="both"/>
        <w:rPr>
          <w:rFonts w:ascii="Calibri" w:hAnsi="Calibri"/>
          <w:b/>
          <w:bCs/>
        </w:rPr>
      </w:pPr>
      <w:r>
        <w:rPr>
          <w:rFonts w:ascii="Calibri" w:hAnsi="Calibri"/>
          <w:b/>
          <w:bCs/>
        </w:rPr>
      </w:r>
      <w:r>
        <w:br w:type="page"/>
      </w:r>
    </w:p>
    <w:p>
      <w:pPr>
        <w:pStyle w:val="Tekstpodstawowywcity2"/>
        <w:ind w:hanging="0"/>
        <w:rPr/>
      </w:pPr>
      <w:r>
        <w:rPr>
          <w:rStyle w:val="Domylnaczcionkaakapitu"/>
          <w:rFonts w:ascii="Calibri" w:hAnsi="Calibri"/>
        </w:rPr>
        <w:t xml:space="preserve">W okresie od 1 stycznia 2025 r. do 31 grudnia 2025 r. na stypendia i zasiłki szkolne wydano </w:t>
      </w:r>
      <w:r>
        <w:rPr>
          <w:rStyle w:val="Domylnaczcionkaakapitu"/>
          <w:rFonts w:ascii="Calibri" w:hAnsi="Calibri"/>
          <w:b/>
          <w:bCs/>
        </w:rPr>
        <w:t xml:space="preserve">211 </w:t>
      </w:r>
      <w:r>
        <w:rPr>
          <w:rStyle w:val="Domylnaczcionkaakapitu"/>
          <w:rFonts w:ascii="Calibri" w:hAnsi="Calibri"/>
        </w:rPr>
        <w:t>decyzji.</w:t>
      </w:r>
    </w:p>
    <w:p>
      <w:pPr>
        <w:pStyle w:val="Tekstpodstawowywcity2"/>
        <w:spacing w:lineRule="auto" w:line="240"/>
        <w:ind w:hanging="0"/>
        <w:rPr>
          <w:rFonts w:ascii="Calibri" w:hAnsi="Calibri"/>
        </w:rPr>
      </w:pPr>
      <w:r>
        <w:rPr>
          <w:rFonts w:ascii="Calibri" w:hAnsi="Calibri"/>
        </w:rPr>
      </w:r>
    </w:p>
    <w:tbl>
      <w:tblPr>
        <w:tblW w:w="8129" w:type="dxa"/>
        <w:jc w:val="start"/>
        <w:tblInd w:w="1505" w:type="dxa"/>
        <w:tblLayout w:type="fixed"/>
        <w:tblCellMar>
          <w:top w:w="55" w:type="dxa"/>
          <w:start w:w="55" w:type="dxa"/>
          <w:bottom w:w="55" w:type="dxa"/>
          <w:end w:w="55" w:type="dxa"/>
        </w:tblCellMar>
      </w:tblPr>
      <w:tblGrid>
        <w:gridCol w:w="3168"/>
        <w:gridCol w:w="4961"/>
      </w:tblGrid>
      <w:tr>
        <w:trPr>
          <w:trHeight w:val="170" w:hRule="atLeast"/>
        </w:trPr>
        <w:tc>
          <w:tcPr>
            <w:tcW w:w="3168" w:type="dxa"/>
            <w:tcBorders>
              <w:top w:val="single" w:sz="2" w:space="0" w:color="000000"/>
              <w:start w:val="single" w:sz="2" w:space="0" w:color="000000"/>
              <w:bottom w:val="single" w:sz="2" w:space="0" w:color="000000"/>
            </w:tcBorders>
            <w:shd w:fill="FF8000" w:val="clear"/>
            <w:vAlign w:val="center"/>
          </w:tcPr>
          <w:p>
            <w:pPr>
              <w:pStyle w:val="Zawartotabeli"/>
              <w:snapToGrid w:val="false"/>
              <w:spacing w:lineRule="auto" w:line="360"/>
              <w:jc w:val="center"/>
              <w:rPr>
                <w:rFonts w:ascii="Calibri" w:hAnsi="Calibri"/>
                <w:b/>
                <w:bCs/>
              </w:rPr>
            </w:pPr>
            <w:r>
              <w:rPr>
                <w:rFonts w:ascii="Calibri" w:hAnsi="Calibri"/>
                <w:b/>
                <w:bCs/>
              </w:rPr>
              <w:t>Liczba decyzji</w:t>
            </w:r>
          </w:p>
        </w:tc>
        <w:tc>
          <w:tcPr>
            <w:tcW w:w="4961" w:type="dxa"/>
            <w:tcBorders>
              <w:top w:val="single" w:sz="2" w:space="0" w:color="000000"/>
              <w:start w:val="single" w:sz="2" w:space="0" w:color="000000"/>
              <w:bottom w:val="single" w:sz="2" w:space="0" w:color="000000"/>
              <w:end w:val="single" w:sz="2" w:space="0" w:color="000000"/>
            </w:tcBorders>
            <w:shd w:fill="FF8000" w:val="clear"/>
            <w:vAlign w:val="center"/>
          </w:tcPr>
          <w:p>
            <w:pPr>
              <w:pStyle w:val="Zawartotabeli"/>
              <w:snapToGrid w:val="false"/>
              <w:spacing w:lineRule="auto" w:line="360"/>
              <w:jc w:val="center"/>
              <w:rPr>
                <w:rFonts w:ascii="Calibri" w:hAnsi="Calibri"/>
                <w:b/>
                <w:bCs/>
              </w:rPr>
            </w:pPr>
            <w:r>
              <w:rPr>
                <w:rFonts w:ascii="Calibri" w:hAnsi="Calibri"/>
                <w:b/>
                <w:bCs/>
              </w:rPr>
              <w:t>Rodzaj decyzji</w:t>
            </w:r>
          </w:p>
        </w:tc>
      </w:tr>
      <w:tr>
        <w:trPr>
          <w:trHeight w:val="170" w:hRule="atLeast"/>
        </w:trPr>
        <w:tc>
          <w:tcPr>
            <w:tcW w:w="3168" w:type="dxa"/>
            <w:tcBorders>
              <w:start w:val="single" w:sz="2" w:space="0" w:color="000000"/>
              <w:bottom w:val="single" w:sz="2" w:space="0" w:color="000000"/>
            </w:tcBorders>
            <w:shd w:fill="E6E905" w:val="clear"/>
            <w:vAlign w:val="center"/>
          </w:tcPr>
          <w:p>
            <w:pPr>
              <w:pStyle w:val="Zawartotabeli"/>
              <w:snapToGrid w:val="false"/>
              <w:spacing w:lineRule="auto" w:line="360"/>
              <w:jc w:val="center"/>
              <w:rPr>
                <w:rFonts w:ascii="Calibri" w:hAnsi="Calibri"/>
              </w:rPr>
            </w:pPr>
            <w:r>
              <w:rPr>
                <w:rFonts w:ascii="Calibri" w:hAnsi="Calibri"/>
              </w:rPr>
              <w:t>176</w:t>
            </w:r>
          </w:p>
        </w:tc>
        <w:tc>
          <w:tcPr>
            <w:tcW w:w="4961" w:type="dxa"/>
            <w:tcBorders>
              <w:start w:val="single" w:sz="2" w:space="0" w:color="000000"/>
              <w:bottom w:val="single" w:sz="2" w:space="0" w:color="000000"/>
              <w:end w:val="single" w:sz="2" w:space="0" w:color="000000"/>
            </w:tcBorders>
            <w:shd w:fill="ACB20C" w:val="clear"/>
            <w:vAlign w:val="center"/>
          </w:tcPr>
          <w:p>
            <w:pPr>
              <w:pStyle w:val="Normal"/>
              <w:snapToGrid w:val="false"/>
              <w:spacing w:lineRule="auto" w:line="360"/>
              <w:jc w:val="center"/>
              <w:rPr>
                <w:rFonts w:ascii="Calibri" w:hAnsi="Calibri"/>
              </w:rPr>
            </w:pPr>
            <w:r>
              <w:rPr>
                <w:rFonts w:ascii="Calibri" w:hAnsi="Calibri"/>
              </w:rPr>
              <w:t>decyzje przyznające stypendium szkolne</w:t>
            </w:r>
          </w:p>
        </w:tc>
      </w:tr>
      <w:tr>
        <w:trPr>
          <w:trHeight w:val="170" w:hRule="atLeast"/>
        </w:trPr>
        <w:tc>
          <w:tcPr>
            <w:tcW w:w="3168" w:type="dxa"/>
            <w:tcBorders>
              <w:start w:val="single" w:sz="2" w:space="0" w:color="000000"/>
              <w:bottom w:val="single" w:sz="2" w:space="0" w:color="000000"/>
            </w:tcBorders>
            <w:shd w:fill="E6E905" w:val="clear"/>
            <w:vAlign w:val="center"/>
          </w:tcPr>
          <w:p>
            <w:pPr>
              <w:pStyle w:val="Zawartotabeli"/>
              <w:snapToGrid w:val="false"/>
              <w:spacing w:lineRule="auto" w:line="360"/>
              <w:jc w:val="center"/>
              <w:rPr>
                <w:rFonts w:ascii="Calibri" w:hAnsi="Calibri"/>
              </w:rPr>
            </w:pPr>
            <w:r>
              <w:rPr>
                <w:rFonts w:ascii="Calibri" w:hAnsi="Calibri"/>
              </w:rPr>
              <w:t>4</w:t>
            </w:r>
          </w:p>
        </w:tc>
        <w:tc>
          <w:tcPr>
            <w:tcW w:w="4961" w:type="dxa"/>
            <w:tcBorders>
              <w:start w:val="single" w:sz="2" w:space="0" w:color="000000"/>
              <w:bottom w:val="single" w:sz="2" w:space="0" w:color="000000"/>
              <w:end w:val="single" w:sz="2" w:space="0" w:color="000000"/>
            </w:tcBorders>
            <w:shd w:fill="ACB20C" w:val="clear"/>
            <w:vAlign w:val="center"/>
          </w:tcPr>
          <w:p>
            <w:pPr>
              <w:pStyle w:val="Normal"/>
              <w:snapToGrid w:val="false"/>
              <w:spacing w:lineRule="auto" w:line="360"/>
              <w:jc w:val="center"/>
              <w:rPr>
                <w:rFonts w:ascii="Calibri" w:hAnsi="Calibri"/>
              </w:rPr>
            </w:pPr>
            <w:r>
              <w:rPr>
                <w:rFonts w:ascii="Calibri" w:hAnsi="Calibri"/>
              </w:rPr>
              <w:t>Decyzje przyznające zasiłki szkolne</w:t>
            </w:r>
          </w:p>
        </w:tc>
      </w:tr>
      <w:tr>
        <w:trPr>
          <w:trHeight w:val="170" w:hRule="atLeast"/>
        </w:trPr>
        <w:tc>
          <w:tcPr>
            <w:tcW w:w="3168" w:type="dxa"/>
            <w:tcBorders>
              <w:start w:val="single" w:sz="2" w:space="0" w:color="000000"/>
              <w:bottom w:val="single" w:sz="2" w:space="0" w:color="000000"/>
            </w:tcBorders>
            <w:shd w:fill="E6E905" w:val="clear"/>
            <w:vAlign w:val="center"/>
          </w:tcPr>
          <w:p>
            <w:pPr>
              <w:pStyle w:val="Zawartotabeli"/>
              <w:snapToGrid w:val="false"/>
              <w:spacing w:lineRule="auto" w:line="360"/>
              <w:jc w:val="center"/>
              <w:rPr>
                <w:rFonts w:ascii="Calibri" w:hAnsi="Calibri"/>
              </w:rPr>
            </w:pPr>
            <w:r>
              <w:rPr>
                <w:rFonts w:ascii="Calibri" w:hAnsi="Calibri"/>
              </w:rPr>
              <w:t>7</w:t>
            </w:r>
          </w:p>
        </w:tc>
        <w:tc>
          <w:tcPr>
            <w:tcW w:w="4961" w:type="dxa"/>
            <w:tcBorders>
              <w:start w:val="single" w:sz="2" w:space="0" w:color="000000"/>
              <w:bottom w:val="single" w:sz="2" w:space="0" w:color="000000"/>
              <w:end w:val="single" w:sz="2" w:space="0" w:color="000000"/>
            </w:tcBorders>
            <w:shd w:fill="ACB20C" w:val="clear"/>
            <w:vAlign w:val="center"/>
          </w:tcPr>
          <w:p>
            <w:pPr>
              <w:pStyle w:val="BodyTextIndent"/>
              <w:snapToGrid w:val="false"/>
              <w:ind w:hanging="0" w:start="0"/>
              <w:jc w:val="center"/>
              <w:rPr>
                <w:rFonts w:ascii="Calibri" w:hAnsi="Calibri"/>
              </w:rPr>
            </w:pPr>
            <w:r>
              <w:rPr>
                <w:rFonts w:ascii="Calibri" w:hAnsi="Calibri"/>
              </w:rPr>
              <w:t>decyzje wygaszające postępowanie</w:t>
            </w:r>
          </w:p>
        </w:tc>
      </w:tr>
      <w:tr>
        <w:trPr>
          <w:trHeight w:val="170" w:hRule="atLeast"/>
        </w:trPr>
        <w:tc>
          <w:tcPr>
            <w:tcW w:w="3168" w:type="dxa"/>
            <w:tcBorders>
              <w:start w:val="single" w:sz="2" w:space="0" w:color="000000"/>
              <w:bottom w:val="single" w:sz="2" w:space="0" w:color="000000"/>
            </w:tcBorders>
            <w:shd w:fill="E6E905" w:val="clear"/>
            <w:vAlign w:val="center"/>
          </w:tcPr>
          <w:p>
            <w:pPr>
              <w:pStyle w:val="Zawartotabeli"/>
              <w:snapToGrid w:val="false"/>
              <w:spacing w:lineRule="auto" w:line="360"/>
              <w:jc w:val="center"/>
              <w:rPr>
                <w:rFonts w:ascii="Calibri" w:hAnsi="Calibri"/>
              </w:rPr>
            </w:pPr>
            <w:r>
              <w:rPr>
                <w:rFonts w:ascii="Calibri" w:hAnsi="Calibri"/>
              </w:rPr>
              <w:t>14</w:t>
            </w:r>
          </w:p>
        </w:tc>
        <w:tc>
          <w:tcPr>
            <w:tcW w:w="4961" w:type="dxa"/>
            <w:tcBorders>
              <w:start w:val="single" w:sz="2" w:space="0" w:color="000000"/>
              <w:bottom w:val="single" w:sz="2" w:space="0" w:color="000000"/>
              <w:end w:val="single" w:sz="2" w:space="0" w:color="000000"/>
            </w:tcBorders>
            <w:shd w:fill="ACB20C" w:val="clear"/>
            <w:vAlign w:val="center"/>
          </w:tcPr>
          <w:p>
            <w:pPr>
              <w:pStyle w:val="BodyTextIndent"/>
              <w:snapToGrid w:val="false"/>
              <w:ind w:hanging="0" w:start="0"/>
              <w:jc w:val="center"/>
              <w:rPr>
                <w:rFonts w:ascii="Calibri" w:hAnsi="Calibri"/>
              </w:rPr>
            </w:pPr>
            <w:r>
              <w:rPr>
                <w:rFonts w:ascii="Calibri" w:hAnsi="Calibri"/>
              </w:rPr>
              <w:t>decyzje umarzające postępowanie</w:t>
            </w:r>
          </w:p>
        </w:tc>
      </w:tr>
      <w:tr>
        <w:trPr>
          <w:trHeight w:val="170" w:hRule="atLeast"/>
        </w:trPr>
        <w:tc>
          <w:tcPr>
            <w:tcW w:w="3168" w:type="dxa"/>
            <w:tcBorders>
              <w:start w:val="single" w:sz="2" w:space="0" w:color="000000"/>
              <w:bottom w:val="single" w:sz="2" w:space="0" w:color="000000"/>
            </w:tcBorders>
            <w:shd w:fill="E6E905" w:val="clear"/>
            <w:vAlign w:val="center"/>
          </w:tcPr>
          <w:p>
            <w:pPr>
              <w:pStyle w:val="Zawartotabeli"/>
              <w:snapToGrid w:val="false"/>
              <w:spacing w:lineRule="auto" w:line="360"/>
              <w:jc w:val="center"/>
              <w:rPr>
                <w:rFonts w:ascii="Calibri" w:hAnsi="Calibri"/>
              </w:rPr>
            </w:pPr>
            <w:r>
              <w:rPr>
                <w:rFonts w:ascii="Calibri" w:hAnsi="Calibri"/>
              </w:rPr>
              <w:t>1</w:t>
            </w:r>
          </w:p>
        </w:tc>
        <w:tc>
          <w:tcPr>
            <w:tcW w:w="4961" w:type="dxa"/>
            <w:tcBorders>
              <w:start w:val="single" w:sz="2" w:space="0" w:color="000000"/>
              <w:bottom w:val="single" w:sz="2" w:space="0" w:color="000000"/>
              <w:end w:val="single" w:sz="2" w:space="0" w:color="000000"/>
            </w:tcBorders>
            <w:shd w:fill="ACB20C" w:val="clear"/>
            <w:vAlign w:val="center"/>
          </w:tcPr>
          <w:p>
            <w:pPr>
              <w:pStyle w:val="BodyTextIndent"/>
              <w:spacing w:lineRule="auto" w:line="240"/>
              <w:ind w:hanging="0" w:start="0"/>
              <w:jc w:val="center"/>
              <w:rPr>
                <w:rFonts w:ascii="Calibri" w:hAnsi="Calibri"/>
              </w:rPr>
            </w:pPr>
            <w:r>
              <w:rPr>
                <w:rFonts w:ascii="Calibri" w:hAnsi="Calibri"/>
              </w:rPr>
              <w:t>decyzje uchylające</w:t>
            </w:r>
          </w:p>
        </w:tc>
      </w:tr>
      <w:tr>
        <w:trPr>
          <w:trHeight w:val="170" w:hRule="atLeast"/>
        </w:trPr>
        <w:tc>
          <w:tcPr>
            <w:tcW w:w="3168" w:type="dxa"/>
            <w:tcBorders>
              <w:start w:val="single" w:sz="2" w:space="0" w:color="000000"/>
              <w:bottom w:val="single" w:sz="2" w:space="0" w:color="000000"/>
            </w:tcBorders>
            <w:shd w:fill="E6E905" w:val="clear"/>
            <w:vAlign w:val="center"/>
          </w:tcPr>
          <w:p>
            <w:pPr>
              <w:pStyle w:val="Zawartotabeli"/>
              <w:snapToGrid w:val="false"/>
              <w:spacing w:lineRule="auto" w:line="360"/>
              <w:jc w:val="center"/>
              <w:rPr>
                <w:rFonts w:ascii="Calibri" w:hAnsi="Calibri"/>
              </w:rPr>
            </w:pPr>
            <w:r>
              <w:rPr>
                <w:rFonts w:ascii="Calibri" w:hAnsi="Calibri"/>
              </w:rPr>
              <w:t>9</w:t>
            </w:r>
          </w:p>
        </w:tc>
        <w:tc>
          <w:tcPr>
            <w:tcW w:w="4961" w:type="dxa"/>
            <w:tcBorders>
              <w:start w:val="single" w:sz="2" w:space="0" w:color="000000"/>
              <w:bottom w:val="single" w:sz="2" w:space="0" w:color="000000"/>
              <w:end w:val="single" w:sz="2" w:space="0" w:color="000000"/>
            </w:tcBorders>
            <w:shd w:fill="ACB20C" w:val="clear"/>
            <w:vAlign w:val="center"/>
          </w:tcPr>
          <w:p>
            <w:pPr>
              <w:pStyle w:val="BodyTextIndent"/>
              <w:snapToGrid w:val="false"/>
              <w:ind w:hanging="0" w:start="0"/>
              <w:jc w:val="center"/>
              <w:rPr>
                <w:rFonts w:ascii="Calibri" w:hAnsi="Calibri"/>
              </w:rPr>
            </w:pPr>
            <w:r>
              <w:rPr>
                <w:rFonts w:ascii="Calibri" w:hAnsi="Calibri"/>
              </w:rPr>
              <w:t>postanowienie z powodu braków formalnych</w:t>
            </w:r>
          </w:p>
        </w:tc>
      </w:tr>
    </w:tbl>
    <w:p>
      <w:pPr>
        <w:pStyle w:val="Normal"/>
        <w:rPr>
          <w:rFonts w:ascii="Calibri" w:hAnsi="Calibri" w:cs="Calibri"/>
          <w:b/>
          <w:bCs/>
          <w:sz w:val="28"/>
          <w:szCs w:val="28"/>
        </w:rPr>
      </w:pPr>
      <w:r>
        <w:rPr>
          <w:rFonts w:cs="Calibri" w:ascii="Calibri" w:hAnsi="Calibri"/>
          <w:b/>
          <w:bCs/>
          <w:sz w:val="28"/>
          <w:szCs w:val="28"/>
        </w:rPr>
      </w:r>
    </w:p>
    <w:p>
      <w:pPr>
        <w:pStyle w:val="Normal"/>
        <w:jc w:val="center"/>
        <w:rPr>
          <w:rFonts w:ascii="Calibri" w:hAnsi="Calibri" w:cs="Calibri"/>
          <w:b/>
          <w:bCs/>
          <w:sz w:val="28"/>
          <w:szCs w:val="28"/>
        </w:rPr>
      </w:pPr>
      <w:r>
        <w:rPr>
          <w:rFonts w:cs="Calibri" w:ascii="Calibri" w:hAnsi="Calibri"/>
          <w:b/>
          <w:bCs/>
          <w:sz w:val="28"/>
          <w:szCs w:val="28"/>
        </w:rPr>
      </w:r>
      <w:r>
        <w:br w:type="page"/>
      </w:r>
    </w:p>
    <w:p>
      <w:pPr>
        <w:pStyle w:val="Normal"/>
        <w:jc w:val="center"/>
        <w:rPr>
          <w:rFonts w:ascii="Calibri" w:hAnsi="Calibri" w:cs="Calibri"/>
          <w:b/>
          <w:bCs/>
          <w:sz w:val="28"/>
          <w:szCs w:val="28"/>
        </w:rPr>
      </w:pPr>
      <w:r>
        <w:rPr>
          <w:rFonts w:cs="Calibri" w:ascii="Calibri" w:hAnsi="Calibri"/>
          <w:b/>
          <w:bCs/>
          <w:sz w:val="28"/>
          <w:szCs w:val="28"/>
        </w:rPr>
        <w:t>IX. Zespół  Interdyscyplinarny  ds. Przeciwdziałania Przemocy Domowej                             w Tomaszowie Mazowieckim</w:t>
      </w:r>
    </w:p>
    <w:p>
      <w:pPr>
        <w:pStyle w:val="Normal"/>
        <w:rPr>
          <w:rFonts w:ascii="Calibri" w:hAnsi="Calibri" w:cs="Calibri"/>
          <w:b/>
          <w:bCs/>
          <w:sz w:val="28"/>
          <w:szCs w:val="28"/>
        </w:rPr>
      </w:pPr>
      <w:r>
        <w:rPr>
          <w:rFonts w:cs="Calibri" w:ascii="Calibri" w:hAnsi="Calibri"/>
          <w:b/>
          <w:bCs/>
          <w:sz w:val="28"/>
          <w:szCs w:val="28"/>
        </w:rPr>
      </w:r>
    </w:p>
    <w:p>
      <w:pPr>
        <w:pStyle w:val="Default"/>
        <w:spacing w:lineRule="auto" w:line="360"/>
        <w:jc w:val="both"/>
        <w:rPr/>
      </w:pPr>
      <w:r>
        <w:rPr>
          <w:rStyle w:val="Domylnaczcionkaakapitu"/>
          <w:rFonts w:cs="Calibri" w:ascii="Calibri" w:hAnsi="Calibri"/>
        </w:rPr>
        <w:tab/>
        <w:t xml:space="preserve">Zadania prowadzone w ramach współpracy podmiotów powołanych do Zespołu Interdyscyplinarnego są realizowane w oparciu o ustawę o przeciwdziałaniu przemocy domowej, rozporządzenie w sprawie procedury "Niebieskie Karty" oraz wzorów formularzy "Niebieska Karta" oraz Miejski Program Przeciwdziałania Przemocy Domowej i </w:t>
      </w:r>
      <w:r>
        <w:rPr>
          <w:rStyle w:val="Domylnaczcionkaakapitu"/>
          <w:rFonts w:cs="Times New Roman" w:ascii="Calibri" w:hAnsi="Calibri"/>
        </w:rPr>
        <w:t>Ochrony Osób Doznających Przemocy Domowej na lata 2024-2030.</w:t>
      </w:r>
    </w:p>
    <w:p>
      <w:pPr>
        <w:pStyle w:val="Default"/>
        <w:spacing w:lineRule="auto" w:line="360"/>
        <w:jc w:val="both"/>
        <w:rPr>
          <w:rFonts w:ascii="Calibri" w:hAnsi="Calibri" w:cs="Calibri"/>
        </w:rPr>
      </w:pPr>
      <w:r>
        <w:rPr>
          <w:rFonts w:cs="Calibri" w:ascii="Calibri" w:hAnsi="Calibri"/>
        </w:rPr>
        <w:tab/>
        <w:t>W 2025 roku działania w zakresie przeciwdziałania przemocy domowej miały charakter systemowy i skoordynowany. Obejmowały zarówno wsparcie osób doznających przemocy,                                 jak i  osób stosujących przemoc domową. Koncentrowały się głównie na ochronie osób doznających przemocy, zapewnieniu im bezpieczeństwa i kompleksowego wsparcia.</w:t>
      </w:r>
    </w:p>
    <w:p>
      <w:pPr>
        <w:pStyle w:val="Default"/>
        <w:spacing w:lineRule="auto" w:line="360"/>
        <w:jc w:val="both"/>
        <w:rPr>
          <w:rFonts w:ascii="Calibri" w:hAnsi="Calibri" w:cs="Calibri"/>
        </w:rPr>
      </w:pPr>
      <w:r>
        <w:rPr>
          <w:rFonts w:cs="Calibri" w:ascii="Calibri" w:hAnsi="Calibri"/>
        </w:rPr>
        <w:t>Pomoc udzielana była w sposób dostosowany do indywidualnej sytuacji rodzin z uwzględnieniem potrzeb osób dorosłych, małoletnich.</w:t>
      </w:r>
    </w:p>
    <w:p>
      <w:pPr>
        <w:pStyle w:val="Normal"/>
        <w:tabs>
          <w:tab w:val="clear" w:pos="709"/>
        </w:tabs>
        <w:spacing w:lineRule="auto" w:line="360"/>
        <w:ind w:hanging="340" w:start="57"/>
        <w:jc w:val="both"/>
        <w:rPr>
          <w:rFonts w:ascii="Calibri" w:hAnsi="Calibri" w:eastAsia="Times New Roman" w:cs="Calibri"/>
          <w:color w:val="000000"/>
        </w:rPr>
      </w:pPr>
      <w:r>
        <w:rPr>
          <w:rFonts w:eastAsia="Times New Roman" w:cs="Calibri" w:ascii="Calibri" w:hAnsi="Calibri"/>
          <w:color w:val="000000"/>
        </w:rPr>
        <w:tab/>
        <w:t>Od stycznia do grudnia 2025 r. założono 190 procedur i kontynuowano z poprzednich lat tj.                  2023 r. i 2024 r. - 88 kart co daje łącznie 278 Niebieskich Kart .</w:t>
      </w:r>
    </w:p>
    <w:p>
      <w:pPr>
        <w:pStyle w:val="Normal"/>
        <w:tabs>
          <w:tab w:val="clear" w:pos="709"/>
        </w:tabs>
        <w:spacing w:lineRule="auto" w:line="360"/>
        <w:ind w:hanging="340" w:start="57"/>
        <w:jc w:val="both"/>
        <w:rPr/>
      </w:pPr>
      <w:r>
        <w:rPr>
          <w:rStyle w:val="Domylnaczcionkaakapitu"/>
          <w:rFonts w:eastAsia="Times New Roman" w:cs="Calibri" w:ascii="Calibri" w:hAnsi="Calibri"/>
        </w:rPr>
        <w:tab/>
        <w:t>W 2025 r. zakończono 185 procedur,</w:t>
      </w:r>
      <w:r>
        <w:rPr>
          <w:rStyle w:val="Domylnaczcionkaakapitu"/>
          <w:rFonts w:eastAsia="Times New Roman" w:cs="Calibri" w:ascii="Calibri" w:hAnsi="Calibri"/>
          <w:b/>
          <w:bCs/>
        </w:rPr>
        <w:t xml:space="preserve"> </w:t>
      </w:r>
      <w:r>
        <w:rPr>
          <w:rStyle w:val="Domylnaczcionkaakapitu"/>
          <w:rFonts w:eastAsia="Times New Roman" w:cs="Calibri" w:ascii="Calibri" w:hAnsi="Calibri"/>
        </w:rPr>
        <w:t>w tym 101 założonych i prowadzonych w roku sprawozdawczym</w:t>
      </w:r>
      <w:r>
        <w:rPr>
          <w:rStyle w:val="Domylnaczcionkaakapitu"/>
          <w:rFonts w:eastAsia="Times New Roman" w:cs="Calibri" w:ascii="Calibri" w:hAnsi="Calibri"/>
          <w:b/>
          <w:bCs/>
        </w:rPr>
        <w:t>.</w:t>
      </w:r>
      <w:r>
        <w:rPr>
          <w:rStyle w:val="Domylnaczcionkaakapitu"/>
          <w:rFonts w:eastAsia="Times New Roman" w:cs="Calibri" w:ascii="Calibri" w:hAnsi="Calibri"/>
        </w:rPr>
        <w:t xml:space="preserve">  </w:t>
      </w:r>
    </w:p>
    <w:p>
      <w:pPr>
        <w:pStyle w:val="Normal"/>
        <w:tabs>
          <w:tab w:val="clear" w:pos="709"/>
        </w:tabs>
        <w:spacing w:lineRule="auto" w:line="360"/>
        <w:ind w:hanging="340" w:start="57"/>
        <w:jc w:val="both"/>
        <w:rPr/>
      </w:pPr>
      <w:r>
        <w:rPr/>
      </w:r>
    </w:p>
    <w:p>
      <w:pPr>
        <w:pStyle w:val="Domylnie"/>
        <w:spacing w:lineRule="auto" w:line="276"/>
        <w:jc w:val="both"/>
        <w:rPr>
          <w:rFonts w:ascii="Calibri" w:hAnsi="Calibri" w:cs="Calibri"/>
          <w:sz w:val="24"/>
          <w:szCs w:val="24"/>
        </w:rPr>
      </w:pPr>
      <w:r>
        <w:rPr>
          <w:rFonts w:cs="Calibri" w:ascii="Calibri" w:hAnsi="Calibri"/>
          <w:sz w:val="24"/>
          <w:szCs w:val="24"/>
        </w:rPr>
      </w:r>
    </w:p>
    <w:tbl>
      <w:tblPr>
        <w:tblW w:w="9669" w:type="dxa"/>
        <w:jc w:val="start"/>
        <w:tblInd w:w="-14" w:type="dxa"/>
        <w:tblLayout w:type="fixed"/>
        <w:tblCellMar>
          <w:top w:w="55" w:type="dxa"/>
          <w:start w:w="55" w:type="dxa"/>
          <w:bottom w:w="55" w:type="dxa"/>
          <w:end w:w="55" w:type="dxa"/>
        </w:tblCellMar>
      </w:tblPr>
      <w:tblGrid>
        <w:gridCol w:w="1304"/>
        <w:gridCol w:w="1811"/>
        <w:gridCol w:w="2331"/>
        <w:gridCol w:w="2042"/>
        <w:gridCol w:w="2181"/>
      </w:tblGrid>
      <w:tr>
        <w:trPr>
          <w:trHeight w:val="1812" w:hRule="atLeast"/>
        </w:trPr>
        <w:tc>
          <w:tcPr>
            <w:tcW w:w="1304" w:type="dxa"/>
            <w:tcBorders>
              <w:top w:val="single" w:sz="6" w:space="0" w:color="000000"/>
              <w:start w:val="single" w:sz="6" w:space="0" w:color="000000"/>
              <w:bottom w:val="single" w:sz="6" w:space="0" w:color="000000"/>
            </w:tcBorders>
            <w:shd w:fill="FFBF00" w:val="clear"/>
            <w:vAlign w:val="center"/>
          </w:tcPr>
          <w:p>
            <w:pPr>
              <w:pStyle w:val="Normal"/>
              <w:widowControl w:val="false"/>
              <w:jc w:val="center"/>
              <w:rPr>
                <w:rFonts w:ascii="Calibri" w:hAnsi="Calibri" w:cs="Calibri"/>
                <w:b/>
                <w:bCs/>
              </w:rPr>
            </w:pPr>
            <w:r>
              <w:rPr>
                <w:rFonts w:cs="Calibri" w:ascii="Calibri" w:hAnsi="Calibri"/>
                <w:b/>
                <w:bCs/>
              </w:rPr>
              <w:t>Rok wszczęcia procedury NK</w:t>
            </w:r>
          </w:p>
        </w:tc>
        <w:tc>
          <w:tcPr>
            <w:tcW w:w="1811" w:type="dxa"/>
            <w:tcBorders>
              <w:top w:val="single" w:sz="6" w:space="0" w:color="000000"/>
              <w:start w:val="single" w:sz="6" w:space="0" w:color="000000"/>
              <w:bottom w:val="single" w:sz="6" w:space="0" w:color="000000"/>
            </w:tcBorders>
            <w:shd w:fill="FFBF00" w:val="clear"/>
            <w:vAlign w:val="center"/>
          </w:tcPr>
          <w:p>
            <w:pPr>
              <w:pStyle w:val="Normal"/>
              <w:widowControl w:val="false"/>
              <w:jc w:val="center"/>
              <w:rPr>
                <w:rFonts w:ascii="Calibri" w:hAnsi="Calibri" w:cs="Calibri"/>
                <w:b/>
                <w:bCs/>
              </w:rPr>
            </w:pPr>
            <w:r>
              <w:rPr>
                <w:rFonts w:cs="Calibri" w:ascii="Calibri" w:hAnsi="Calibri"/>
                <w:b/>
                <w:bCs/>
              </w:rPr>
              <w:t>Liczba wszczętych procedur NK</w:t>
            </w:r>
          </w:p>
        </w:tc>
        <w:tc>
          <w:tcPr>
            <w:tcW w:w="2331" w:type="dxa"/>
            <w:tcBorders>
              <w:top w:val="single" w:sz="6" w:space="0" w:color="000000"/>
              <w:start w:val="single" w:sz="6" w:space="0" w:color="000000"/>
              <w:bottom w:val="single" w:sz="6" w:space="0" w:color="000000"/>
            </w:tcBorders>
            <w:shd w:fill="FFBF00" w:val="clear"/>
            <w:vAlign w:val="center"/>
          </w:tcPr>
          <w:p>
            <w:pPr>
              <w:pStyle w:val="Normal"/>
              <w:widowControl w:val="false"/>
              <w:jc w:val="center"/>
              <w:rPr>
                <w:rFonts w:ascii="Calibri" w:hAnsi="Calibri" w:cs="Calibri"/>
                <w:b/>
                <w:bCs/>
              </w:rPr>
            </w:pPr>
            <w:r>
              <w:rPr>
                <w:rFonts w:cs="Calibri" w:ascii="Calibri" w:hAnsi="Calibri"/>
                <w:b/>
                <w:bCs/>
              </w:rPr>
              <w:t>Liczba NK w trakcie realizacji - przeniesiona do kontynuacji z poprzedniego okresu</w:t>
            </w:r>
          </w:p>
        </w:tc>
        <w:tc>
          <w:tcPr>
            <w:tcW w:w="2042" w:type="dxa"/>
            <w:tcBorders>
              <w:top w:val="single" w:sz="6" w:space="0" w:color="000000"/>
              <w:start w:val="single" w:sz="6" w:space="0" w:color="000000"/>
              <w:bottom w:val="single" w:sz="6" w:space="0" w:color="000000"/>
            </w:tcBorders>
            <w:shd w:fill="FFBF00" w:val="clear"/>
            <w:vAlign w:val="center"/>
          </w:tcPr>
          <w:p>
            <w:pPr>
              <w:pStyle w:val="Normal"/>
              <w:widowControl w:val="false"/>
              <w:tabs>
                <w:tab w:val="clear" w:pos="709"/>
              </w:tabs>
              <w:ind w:start="57"/>
              <w:jc w:val="center"/>
              <w:rPr>
                <w:rFonts w:ascii="Calibri" w:hAnsi="Calibri" w:cs="Calibri"/>
                <w:b/>
                <w:bCs/>
              </w:rPr>
            </w:pPr>
            <w:r>
              <w:rPr>
                <w:rFonts w:cs="Calibri" w:ascii="Calibri" w:hAnsi="Calibri"/>
                <w:b/>
                <w:bCs/>
              </w:rPr>
              <w:t>Łączna liczba NK prowadzonych w danym roku</w:t>
            </w:r>
          </w:p>
        </w:tc>
        <w:tc>
          <w:tcPr>
            <w:tcW w:w="2181" w:type="dxa"/>
            <w:tcBorders>
              <w:top w:val="single" w:sz="6" w:space="0" w:color="000000"/>
              <w:start w:val="single" w:sz="6" w:space="0" w:color="000000"/>
              <w:bottom w:val="single" w:sz="6" w:space="0" w:color="000000"/>
              <w:end w:val="single" w:sz="6" w:space="0" w:color="000000"/>
            </w:tcBorders>
            <w:shd w:fill="FFBF00" w:val="clear"/>
            <w:vAlign w:val="center"/>
          </w:tcPr>
          <w:p>
            <w:pPr>
              <w:pStyle w:val="Normal"/>
              <w:widowControl w:val="false"/>
              <w:jc w:val="center"/>
              <w:rPr>
                <w:rFonts w:ascii="Calibri" w:hAnsi="Calibri" w:eastAsia="Times New Roman" w:cs="Calibri"/>
                <w:b/>
                <w:bCs/>
                <w:color w:val="000000"/>
              </w:rPr>
            </w:pPr>
            <w:r>
              <w:rPr>
                <w:rFonts w:eastAsia="Times New Roman" w:cs="Calibri" w:ascii="Calibri" w:hAnsi="Calibri"/>
                <w:b/>
                <w:bCs/>
                <w:color w:val="000000"/>
              </w:rPr>
            </w:r>
          </w:p>
          <w:p>
            <w:pPr>
              <w:pStyle w:val="Normal"/>
              <w:widowControl w:val="false"/>
              <w:jc w:val="center"/>
              <w:rPr>
                <w:rFonts w:ascii="Calibri" w:hAnsi="Calibri" w:cs="Calibri"/>
                <w:b/>
                <w:bCs/>
              </w:rPr>
            </w:pPr>
            <w:r>
              <w:rPr>
                <w:rFonts w:cs="Calibri" w:ascii="Calibri" w:hAnsi="Calibri"/>
                <w:b/>
                <w:bCs/>
              </w:rPr>
              <w:t>Rok zakończenia procedury Niebieskiej Karty</w:t>
            </w:r>
          </w:p>
        </w:tc>
      </w:tr>
      <w:tr>
        <w:trPr>
          <w:trHeight w:val="897" w:hRule="atLeast"/>
        </w:trPr>
        <w:tc>
          <w:tcPr>
            <w:tcW w:w="1304" w:type="dxa"/>
            <w:tcBorders>
              <w:start w:val="single" w:sz="6" w:space="0" w:color="000000"/>
              <w:bottom w:val="single" w:sz="6" w:space="0" w:color="000000"/>
            </w:tcBorders>
            <w:shd w:fill="FF4000" w:val="clear"/>
            <w:vAlign w:val="center"/>
          </w:tcPr>
          <w:p>
            <w:pPr>
              <w:pStyle w:val="Zawartotabeli"/>
              <w:widowControl w:val="false"/>
              <w:spacing w:lineRule="auto" w:line="276"/>
              <w:jc w:val="center"/>
              <w:rPr>
                <w:rFonts w:ascii="Calibri" w:hAnsi="Calibri" w:eastAsia="Mangal" w:cs="Calibri"/>
                <w:b/>
                <w:bCs/>
              </w:rPr>
            </w:pPr>
            <w:r>
              <w:rPr>
                <w:rFonts w:eastAsia="Mangal" w:cs="Calibri" w:ascii="Calibri" w:hAnsi="Calibri"/>
                <w:b/>
                <w:bCs/>
              </w:rPr>
              <w:t>2025r.</w:t>
            </w:r>
          </w:p>
        </w:tc>
        <w:tc>
          <w:tcPr>
            <w:tcW w:w="1811" w:type="dxa"/>
            <w:tcBorders>
              <w:start w:val="single" w:sz="6" w:space="0" w:color="000000"/>
              <w:bottom w:val="single" w:sz="6" w:space="0" w:color="000000"/>
            </w:tcBorders>
            <w:shd w:fill="ACB20C" w:val="clear"/>
            <w:vAlign w:val="center"/>
          </w:tcPr>
          <w:p>
            <w:pPr>
              <w:pStyle w:val="Zawartotabeli"/>
              <w:widowControl w:val="false"/>
              <w:spacing w:lineRule="auto" w:line="276"/>
              <w:jc w:val="center"/>
              <w:rPr>
                <w:rFonts w:ascii="Calibri" w:hAnsi="Calibri" w:eastAsia="Mangal" w:cs="Calibri"/>
                <w:b/>
                <w:bCs/>
              </w:rPr>
            </w:pPr>
            <w:r>
              <w:rPr>
                <w:rFonts w:eastAsia="Mangal" w:cs="Calibri" w:ascii="Calibri" w:hAnsi="Calibri"/>
                <w:b/>
                <w:bCs/>
              </w:rPr>
              <w:t>190</w:t>
            </w:r>
          </w:p>
        </w:tc>
        <w:tc>
          <w:tcPr>
            <w:tcW w:w="2331" w:type="dxa"/>
            <w:tcBorders>
              <w:start w:val="single" w:sz="6" w:space="0" w:color="000000"/>
              <w:bottom w:val="single" w:sz="6" w:space="0" w:color="000000"/>
            </w:tcBorders>
            <w:shd w:fill="ACB20C" w:val="clear"/>
            <w:vAlign w:val="center"/>
          </w:tcPr>
          <w:p>
            <w:pPr>
              <w:pStyle w:val="Zawartotabeli"/>
              <w:widowControl w:val="false"/>
              <w:spacing w:lineRule="auto" w:line="276"/>
              <w:jc w:val="center"/>
              <w:rPr>
                <w:rFonts w:ascii="Calibri" w:hAnsi="Calibri" w:eastAsia="Mangal" w:cs="Calibri"/>
                <w:b/>
                <w:bCs/>
              </w:rPr>
            </w:pPr>
            <w:r>
              <w:rPr>
                <w:rFonts w:eastAsia="Mangal" w:cs="Calibri" w:ascii="Calibri" w:hAnsi="Calibri"/>
                <w:b/>
                <w:bCs/>
              </w:rPr>
              <w:t>88( z 2023/2024)</w:t>
            </w:r>
          </w:p>
        </w:tc>
        <w:tc>
          <w:tcPr>
            <w:tcW w:w="2042" w:type="dxa"/>
            <w:tcBorders>
              <w:start w:val="single" w:sz="6" w:space="0" w:color="000000"/>
              <w:bottom w:val="single" w:sz="6" w:space="0" w:color="000000"/>
            </w:tcBorders>
            <w:shd w:fill="ACB20C" w:val="clear"/>
            <w:vAlign w:val="center"/>
          </w:tcPr>
          <w:p>
            <w:pPr>
              <w:pStyle w:val="Zawartotabeli"/>
              <w:widowControl w:val="false"/>
              <w:spacing w:lineRule="auto" w:line="276"/>
              <w:jc w:val="center"/>
              <w:rPr>
                <w:rFonts w:ascii="Calibri" w:hAnsi="Calibri" w:eastAsia="Mangal" w:cs="Calibri"/>
                <w:b/>
                <w:bCs/>
              </w:rPr>
            </w:pPr>
            <w:r>
              <w:rPr>
                <w:rFonts w:eastAsia="Mangal" w:cs="Calibri" w:ascii="Calibri" w:hAnsi="Calibri"/>
                <w:b/>
                <w:bCs/>
              </w:rPr>
              <w:t>278</w:t>
            </w:r>
          </w:p>
        </w:tc>
        <w:tc>
          <w:tcPr>
            <w:tcW w:w="2181" w:type="dxa"/>
            <w:tcBorders>
              <w:top w:val="single" w:sz="6" w:space="0" w:color="000000"/>
              <w:start w:val="single" w:sz="6" w:space="0" w:color="000000"/>
              <w:bottom w:val="single" w:sz="6" w:space="0" w:color="000000"/>
              <w:end w:val="single" w:sz="6" w:space="0" w:color="000000"/>
            </w:tcBorders>
            <w:shd w:fill="ACB20C" w:val="clear"/>
            <w:vAlign w:val="center"/>
          </w:tcPr>
          <w:p>
            <w:pPr>
              <w:pStyle w:val="Zawartotabeli"/>
              <w:widowControl w:val="false"/>
              <w:spacing w:lineRule="auto" w:line="276"/>
              <w:jc w:val="center"/>
              <w:rPr>
                <w:rFonts w:ascii="Calibri" w:hAnsi="Calibri" w:eastAsia="Mangal" w:cs="Calibri"/>
                <w:b/>
                <w:bCs/>
              </w:rPr>
            </w:pPr>
            <w:r>
              <w:rPr>
                <w:rFonts w:eastAsia="Mangal" w:cs="Calibri" w:ascii="Calibri" w:hAnsi="Calibri"/>
                <w:b/>
                <w:bCs/>
              </w:rPr>
              <w:t>185(101)</w:t>
            </w:r>
          </w:p>
        </w:tc>
      </w:tr>
    </w:tbl>
    <w:p>
      <w:pPr>
        <w:pStyle w:val="Domylnie"/>
        <w:widowControl w:val="false"/>
        <w:spacing w:lineRule="auto" w:line="276"/>
        <w:rPr>
          <w:rFonts w:ascii="Calibri" w:hAnsi="Calibri" w:cs="Calibri"/>
        </w:rPr>
      </w:pPr>
      <w:r>
        <w:rPr>
          <w:rFonts w:cs="Calibri" w:ascii="Calibri" w:hAnsi="Calibri"/>
        </w:rPr>
      </w:r>
    </w:p>
    <w:p>
      <w:pPr>
        <w:pStyle w:val="Normal"/>
        <w:tabs>
          <w:tab w:val="clear" w:pos="709"/>
        </w:tabs>
        <w:spacing w:lineRule="auto" w:line="360"/>
        <w:ind w:hanging="340" w:start="57"/>
        <w:jc w:val="both"/>
        <w:rPr/>
      </w:pPr>
      <w:r>
        <w:rPr>
          <w:rStyle w:val="Domylnaczcionkaakapitu"/>
          <w:rFonts w:eastAsia="Times New Roman" w:ascii="Calibri" w:hAnsi="Calibri"/>
          <w:color w:val="000000"/>
        </w:rPr>
        <w:t xml:space="preserve">   </w:t>
      </w:r>
      <w:r>
        <w:rPr>
          <w:rStyle w:val="Domylnaczcionkaakapitu"/>
          <w:rFonts w:eastAsia="Times New Roman" w:ascii="Calibri" w:hAnsi="Calibri"/>
          <w:color w:val="000000"/>
        </w:rPr>
        <w:tab/>
        <w:tab/>
        <w:t>Opieką Zespołu Interdyscyplinarnego objęto 278 rodzin z kart bieżących oraz kontynuowanych ( w przybliżeniu 800 osób w tych rodzinach).</w:t>
      </w:r>
    </w:p>
    <w:tbl>
      <w:tblPr>
        <w:tblW w:w="9650" w:type="dxa"/>
        <w:jc w:val="start"/>
        <w:tblInd w:w="-14" w:type="dxa"/>
        <w:tblLayout w:type="fixed"/>
        <w:tblCellMar>
          <w:top w:w="55" w:type="dxa"/>
          <w:start w:w="55" w:type="dxa"/>
          <w:bottom w:w="55" w:type="dxa"/>
          <w:end w:w="55" w:type="dxa"/>
        </w:tblCellMar>
      </w:tblPr>
      <w:tblGrid>
        <w:gridCol w:w="6303"/>
        <w:gridCol w:w="3347"/>
      </w:tblGrid>
      <w:tr>
        <w:trPr/>
        <w:tc>
          <w:tcPr>
            <w:tcW w:w="6303" w:type="dxa"/>
            <w:tcBorders>
              <w:top w:val="single" w:sz="6" w:space="0" w:color="000000"/>
              <w:start w:val="single" w:sz="6" w:space="0" w:color="000000"/>
              <w:bottom w:val="single" w:sz="6" w:space="0" w:color="000000"/>
            </w:tcBorders>
            <w:shd w:fill="FF8000" w:val="clear"/>
            <w:vAlign w:val="center"/>
          </w:tcPr>
          <w:p>
            <w:pPr>
              <w:pStyle w:val="Zawartotabeli"/>
              <w:widowControl w:val="false"/>
              <w:spacing w:lineRule="auto" w:line="276"/>
              <w:jc w:val="center"/>
              <w:rPr>
                <w:rFonts w:ascii="Calibri" w:hAnsi="Calibri" w:eastAsia="Times New Roman" w:cs="Calibri"/>
                <w:b/>
                <w:bCs/>
              </w:rPr>
            </w:pPr>
            <w:r>
              <w:rPr>
                <w:rFonts w:eastAsia="Times New Roman" w:cs="Calibri" w:ascii="Calibri" w:hAnsi="Calibri"/>
                <w:b/>
                <w:bCs/>
              </w:rPr>
              <w:t>Rok</w:t>
            </w:r>
          </w:p>
        </w:tc>
        <w:tc>
          <w:tcPr>
            <w:tcW w:w="3347" w:type="dxa"/>
            <w:tcBorders>
              <w:top w:val="single" w:sz="6" w:space="0" w:color="000000"/>
              <w:start w:val="single" w:sz="6" w:space="0" w:color="000000"/>
              <w:bottom w:val="single" w:sz="6" w:space="0" w:color="000000"/>
              <w:end w:val="single" w:sz="6" w:space="0" w:color="000000"/>
            </w:tcBorders>
            <w:shd w:fill="FF8000" w:val="clear"/>
            <w:vAlign w:val="center"/>
          </w:tcPr>
          <w:p>
            <w:pPr>
              <w:pStyle w:val="Zawartotabeli"/>
              <w:widowControl w:val="false"/>
              <w:spacing w:lineRule="auto" w:line="276"/>
              <w:jc w:val="center"/>
              <w:rPr>
                <w:rFonts w:ascii="Calibri" w:hAnsi="Calibri" w:eastAsia="Times New Roman" w:cs="Calibri"/>
                <w:b/>
                <w:bCs/>
                <w:color w:val="000000"/>
              </w:rPr>
            </w:pPr>
            <w:r>
              <w:rPr>
                <w:rFonts w:eastAsia="Times New Roman" w:cs="Calibri" w:ascii="Calibri" w:hAnsi="Calibri"/>
                <w:b/>
                <w:bCs/>
                <w:color w:val="000000"/>
              </w:rPr>
              <w:t>2025</w:t>
            </w:r>
          </w:p>
        </w:tc>
      </w:tr>
      <w:tr>
        <w:trPr/>
        <w:tc>
          <w:tcPr>
            <w:tcW w:w="6303" w:type="dxa"/>
            <w:tcBorders>
              <w:start w:val="single" w:sz="6" w:space="0" w:color="000000"/>
              <w:bottom w:val="single" w:sz="6" w:space="0" w:color="000000"/>
            </w:tcBorders>
            <w:shd w:fill="ACB20C" w:val="clear"/>
            <w:vAlign w:val="center"/>
          </w:tcPr>
          <w:p>
            <w:pPr>
              <w:pStyle w:val="Zawartotabeli"/>
              <w:widowControl w:val="false"/>
              <w:spacing w:lineRule="auto" w:line="276"/>
              <w:jc w:val="center"/>
              <w:rPr>
                <w:rFonts w:ascii="Calibri" w:hAnsi="Calibri" w:eastAsia="Times New Roman" w:cs="Calibri"/>
              </w:rPr>
            </w:pPr>
            <w:r>
              <w:rPr>
                <w:rFonts w:eastAsia="Times New Roman" w:cs="Calibri" w:ascii="Calibri" w:hAnsi="Calibri"/>
              </w:rPr>
              <w:t>Liczba osób dotkniętych przemocą</w:t>
            </w:r>
          </w:p>
        </w:tc>
        <w:tc>
          <w:tcPr>
            <w:tcW w:w="3347" w:type="dxa"/>
            <w:tcBorders>
              <w:start w:val="single" w:sz="6" w:space="0" w:color="000000"/>
              <w:bottom w:val="single" w:sz="6" w:space="0" w:color="000000"/>
              <w:end w:val="single" w:sz="6" w:space="0" w:color="000000"/>
            </w:tcBorders>
            <w:shd w:fill="E6E905" w:val="clear"/>
            <w:vAlign w:val="center"/>
          </w:tcPr>
          <w:p>
            <w:pPr>
              <w:pStyle w:val="Zawartotabeli"/>
              <w:widowControl w:val="false"/>
              <w:spacing w:lineRule="auto" w:line="360"/>
              <w:jc w:val="center"/>
              <w:rPr>
                <w:rFonts w:ascii="Calibri" w:hAnsi="Calibri" w:eastAsia="Times New Roman" w:cs="Calibri"/>
                <w:color w:val="000000"/>
              </w:rPr>
            </w:pPr>
            <w:r>
              <w:rPr>
                <w:rFonts w:eastAsia="Times New Roman" w:cs="Calibri" w:ascii="Calibri" w:hAnsi="Calibri"/>
                <w:color w:val="000000"/>
              </w:rPr>
              <w:t>316</w:t>
            </w:r>
          </w:p>
        </w:tc>
      </w:tr>
      <w:tr>
        <w:trPr/>
        <w:tc>
          <w:tcPr>
            <w:tcW w:w="9650" w:type="dxa"/>
            <w:gridSpan w:val="2"/>
            <w:tcBorders>
              <w:start w:val="single" w:sz="6" w:space="0" w:color="000000"/>
              <w:bottom w:val="single" w:sz="6" w:space="0" w:color="000000"/>
              <w:end w:val="single" w:sz="6" w:space="0" w:color="000000"/>
            </w:tcBorders>
            <w:shd w:fill="ACB20C" w:val="clear"/>
            <w:vAlign w:val="center"/>
          </w:tcPr>
          <w:p>
            <w:pPr>
              <w:pStyle w:val="Zawartotabeli"/>
              <w:widowControl w:val="false"/>
              <w:spacing w:lineRule="auto" w:line="360"/>
              <w:jc w:val="center"/>
              <w:rPr/>
            </w:pPr>
            <w:r>
              <w:rPr>
                <w:rStyle w:val="Domylnaczcionkaakapitu"/>
                <w:rFonts w:cs="Calibri" w:ascii="Calibri" w:hAnsi="Calibri"/>
                <w:b/>
                <w:bCs/>
                <w:color w:val="000000"/>
              </w:rPr>
              <w:t>W tym:</w:t>
            </w:r>
          </w:p>
        </w:tc>
      </w:tr>
      <w:tr>
        <w:trPr/>
        <w:tc>
          <w:tcPr>
            <w:tcW w:w="6303" w:type="dxa"/>
            <w:tcBorders>
              <w:start w:val="single" w:sz="6" w:space="0" w:color="000000"/>
              <w:bottom w:val="single" w:sz="6" w:space="0" w:color="000000"/>
            </w:tcBorders>
            <w:shd w:fill="ACB20C" w:val="clear"/>
            <w:vAlign w:val="center"/>
          </w:tcPr>
          <w:p>
            <w:pPr>
              <w:pStyle w:val="Zawartotabeli"/>
              <w:widowControl w:val="false"/>
              <w:spacing w:lineRule="auto" w:line="276"/>
              <w:jc w:val="center"/>
              <w:rPr>
                <w:rFonts w:ascii="Calibri" w:hAnsi="Calibri" w:eastAsia="Times New Roman" w:cs="Calibri"/>
              </w:rPr>
            </w:pPr>
            <w:r>
              <w:rPr>
                <w:rFonts w:eastAsia="Times New Roman" w:cs="Calibri" w:ascii="Calibri" w:hAnsi="Calibri"/>
              </w:rPr>
              <w:t>Kobiety</w:t>
            </w:r>
          </w:p>
        </w:tc>
        <w:tc>
          <w:tcPr>
            <w:tcW w:w="3347" w:type="dxa"/>
            <w:tcBorders>
              <w:start w:val="single" w:sz="6" w:space="0" w:color="000000"/>
              <w:bottom w:val="single" w:sz="6" w:space="0" w:color="000000"/>
              <w:end w:val="single" w:sz="6" w:space="0" w:color="000000"/>
            </w:tcBorders>
            <w:shd w:fill="E6E905" w:val="clear"/>
            <w:vAlign w:val="center"/>
          </w:tcPr>
          <w:p>
            <w:pPr>
              <w:pStyle w:val="Zawartotabeli"/>
              <w:widowControl w:val="false"/>
              <w:spacing w:lineRule="auto" w:line="360"/>
              <w:jc w:val="center"/>
              <w:rPr>
                <w:rFonts w:ascii="Calibri" w:hAnsi="Calibri" w:eastAsia="Times New Roman" w:cs="Calibri"/>
                <w:color w:val="000000"/>
              </w:rPr>
            </w:pPr>
            <w:r>
              <w:rPr>
                <w:rFonts w:eastAsia="Times New Roman" w:cs="Calibri" w:ascii="Calibri" w:hAnsi="Calibri"/>
                <w:color w:val="000000"/>
              </w:rPr>
              <w:t>174</w:t>
            </w:r>
          </w:p>
        </w:tc>
      </w:tr>
      <w:tr>
        <w:trPr/>
        <w:tc>
          <w:tcPr>
            <w:tcW w:w="6303" w:type="dxa"/>
            <w:tcBorders>
              <w:start w:val="single" w:sz="6" w:space="0" w:color="000000"/>
              <w:bottom w:val="single" w:sz="6" w:space="0" w:color="000000"/>
            </w:tcBorders>
            <w:shd w:fill="ACB20C" w:val="clear"/>
            <w:vAlign w:val="center"/>
          </w:tcPr>
          <w:p>
            <w:pPr>
              <w:pStyle w:val="Zawartotabeli"/>
              <w:widowControl w:val="false"/>
              <w:spacing w:lineRule="auto" w:line="276"/>
              <w:jc w:val="center"/>
              <w:rPr>
                <w:rFonts w:ascii="Calibri" w:hAnsi="Calibri" w:eastAsia="Times New Roman" w:cs="Calibri"/>
              </w:rPr>
            </w:pPr>
            <w:r>
              <w:rPr>
                <w:rFonts w:eastAsia="Times New Roman" w:cs="Calibri" w:ascii="Calibri" w:hAnsi="Calibri"/>
              </w:rPr>
              <w:t>Mężczyźni</w:t>
            </w:r>
          </w:p>
        </w:tc>
        <w:tc>
          <w:tcPr>
            <w:tcW w:w="3347" w:type="dxa"/>
            <w:tcBorders>
              <w:start w:val="single" w:sz="6" w:space="0" w:color="000000"/>
              <w:bottom w:val="single" w:sz="6" w:space="0" w:color="000000"/>
              <w:end w:val="single" w:sz="6" w:space="0" w:color="000000"/>
            </w:tcBorders>
            <w:shd w:fill="E6E905" w:val="clear"/>
            <w:vAlign w:val="center"/>
          </w:tcPr>
          <w:p>
            <w:pPr>
              <w:pStyle w:val="Zawartotabeli"/>
              <w:widowControl w:val="false"/>
              <w:spacing w:lineRule="auto" w:line="360"/>
              <w:jc w:val="center"/>
              <w:rPr>
                <w:rFonts w:ascii="Calibri" w:hAnsi="Calibri" w:eastAsia="Times New Roman" w:cs="Calibri"/>
                <w:color w:val="000000"/>
              </w:rPr>
            </w:pPr>
            <w:r>
              <w:rPr>
                <w:rFonts w:eastAsia="Times New Roman" w:cs="Calibri" w:ascii="Calibri" w:hAnsi="Calibri"/>
                <w:color w:val="000000"/>
              </w:rPr>
              <w:t>28</w:t>
            </w:r>
          </w:p>
        </w:tc>
      </w:tr>
      <w:tr>
        <w:trPr/>
        <w:tc>
          <w:tcPr>
            <w:tcW w:w="6303" w:type="dxa"/>
            <w:tcBorders>
              <w:start w:val="single" w:sz="6" w:space="0" w:color="000000"/>
              <w:bottom w:val="single" w:sz="6" w:space="0" w:color="000000"/>
            </w:tcBorders>
            <w:shd w:fill="ACB20C" w:val="clear"/>
            <w:vAlign w:val="center"/>
          </w:tcPr>
          <w:p>
            <w:pPr>
              <w:pStyle w:val="Zawartotabeli"/>
              <w:widowControl w:val="false"/>
              <w:spacing w:lineRule="auto" w:line="276"/>
              <w:jc w:val="center"/>
              <w:rPr>
                <w:rFonts w:ascii="Calibri" w:hAnsi="Calibri" w:eastAsia="Times New Roman" w:cs="Calibri"/>
              </w:rPr>
            </w:pPr>
            <w:r>
              <w:rPr>
                <w:rFonts w:eastAsia="Times New Roman" w:cs="Calibri" w:ascii="Calibri" w:hAnsi="Calibri"/>
              </w:rPr>
              <w:t>Nieletni</w:t>
            </w:r>
          </w:p>
        </w:tc>
        <w:tc>
          <w:tcPr>
            <w:tcW w:w="3347" w:type="dxa"/>
            <w:tcBorders>
              <w:start w:val="single" w:sz="6" w:space="0" w:color="000000"/>
              <w:bottom w:val="single" w:sz="6" w:space="0" w:color="000000"/>
              <w:end w:val="single" w:sz="6" w:space="0" w:color="000000"/>
            </w:tcBorders>
            <w:shd w:fill="E6E905" w:val="clear"/>
            <w:vAlign w:val="center"/>
          </w:tcPr>
          <w:p>
            <w:pPr>
              <w:pStyle w:val="Zawartotabeli"/>
              <w:widowControl w:val="false"/>
              <w:spacing w:lineRule="auto" w:line="360"/>
              <w:jc w:val="center"/>
              <w:rPr>
                <w:rFonts w:ascii="Calibri" w:hAnsi="Calibri" w:eastAsia="Times New Roman" w:cs="Calibri"/>
                <w:color w:val="000000"/>
              </w:rPr>
            </w:pPr>
            <w:r>
              <w:rPr>
                <w:rFonts w:eastAsia="Times New Roman" w:cs="Calibri" w:ascii="Calibri" w:hAnsi="Calibri"/>
                <w:color w:val="000000"/>
              </w:rPr>
              <w:t>114</w:t>
            </w:r>
          </w:p>
        </w:tc>
      </w:tr>
    </w:tbl>
    <w:p>
      <w:pPr>
        <w:pStyle w:val="Normal"/>
        <w:spacing w:lineRule="auto" w:line="276"/>
        <w:jc w:val="both"/>
        <w:rPr>
          <w:rFonts w:ascii="Calibri" w:hAnsi="Calibri" w:cs="Calibri"/>
        </w:rPr>
      </w:pPr>
      <w:r>
        <w:rPr>
          <w:rFonts w:cs="Calibri" w:ascii="Calibri" w:hAnsi="Calibri"/>
        </w:rPr>
      </w:r>
    </w:p>
    <w:p>
      <w:pPr>
        <w:pStyle w:val="Normal"/>
        <w:spacing w:lineRule="auto" w:line="360"/>
        <w:jc w:val="both"/>
        <w:rPr>
          <w:rFonts w:ascii="Calibri" w:hAnsi="Calibri" w:cs="Calibri"/>
        </w:rPr>
      </w:pPr>
      <w:r>
        <w:rPr>
          <w:rFonts w:cs="Calibri" w:ascii="Calibri" w:hAnsi="Calibri"/>
        </w:rPr>
        <w:tab/>
        <w:t>Liczba Niebieskich Kart sporządzonych przez poszczególnych przedstawicieli jednostek zajmujących się zjawiskiem przemocy domowej na terenie Tomaszowa Maz. w 2025 roku wskazuje, że najczęściej procedurę NK rozpoczynali funkcjonariusze Komendy Powiatowej Policji w czasie interwencji domowej lub podczas przyjmowania zawiadomienia o przestępstwo z art. 207  KK.</w:t>
      </w:r>
    </w:p>
    <w:tbl>
      <w:tblPr>
        <w:tblW w:w="9645" w:type="dxa"/>
        <w:jc w:val="start"/>
        <w:tblInd w:w="-14" w:type="dxa"/>
        <w:tblLayout w:type="fixed"/>
        <w:tblCellMar>
          <w:top w:w="55" w:type="dxa"/>
          <w:start w:w="55" w:type="dxa"/>
          <w:bottom w:w="55" w:type="dxa"/>
          <w:end w:w="55" w:type="dxa"/>
        </w:tblCellMar>
      </w:tblPr>
      <w:tblGrid>
        <w:gridCol w:w="4938"/>
        <w:gridCol w:w="4707"/>
      </w:tblGrid>
      <w:tr>
        <w:trPr/>
        <w:tc>
          <w:tcPr>
            <w:tcW w:w="4938" w:type="dxa"/>
            <w:tcBorders>
              <w:top w:val="single" w:sz="6" w:space="0" w:color="000000"/>
              <w:start w:val="single" w:sz="6" w:space="0" w:color="000000"/>
              <w:bottom w:val="single" w:sz="6" w:space="0" w:color="000000"/>
            </w:tcBorders>
            <w:shd w:fill="FFBF00" w:val="clear"/>
            <w:vAlign w:val="center"/>
          </w:tcPr>
          <w:p>
            <w:pPr>
              <w:pStyle w:val="Zawartotabeli"/>
              <w:widowControl w:val="false"/>
              <w:spacing w:lineRule="auto" w:line="276"/>
              <w:jc w:val="center"/>
              <w:rPr>
                <w:rFonts w:ascii="Calibri" w:hAnsi="Calibri" w:eastAsia="Times New Roman" w:cs="Calibri"/>
                <w:b/>
                <w:bCs/>
              </w:rPr>
            </w:pPr>
            <w:r>
              <w:rPr>
                <w:rFonts w:eastAsia="Times New Roman" w:cs="Calibri" w:ascii="Calibri" w:hAnsi="Calibri"/>
                <w:b/>
                <w:bCs/>
              </w:rPr>
              <w:t>Poszczególne jednostki</w:t>
            </w:r>
          </w:p>
        </w:tc>
        <w:tc>
          <w:tcPr>
            <w:tcW w:w="4707" w:type="dxa"/>
            <w:tcBorders>
              <w:top w:val="single" w:sz="6" w:space="0" w:color="000000"/>
              <w:start w:val="single" w:sz="6" w:space="0" w:color="000000"/>
              <w:bottom w:val="single" w:sz="6" w:space="0" w:color="000000"/>
              <w:end w:val="single" w:sz="6" w:space="0" w:color="000000"/>
            </w:tcBorders>
            <w:shd w:fill="FFBF00" w:val="clear"/>
            <w:vAlign w:val="center"/>
          </w:tcPr>
          <w:p>
            <w:pPr>
              <w:pStyle w:val="Zawartotabeli"/>
              <w:widowControl w:val="false"/>
              <w:spacing w:lineRule="auto" w:line="276"/>
              <w:jc w:val="center"/>
              <w:rPr>
                <w:rFonts w:ascii="Calibri" w:hAnsi="Calibri" w:eastAsia="Times New Roman" w:cs="Calibri"/>
                <w:b/>
                <w:bCs/>
              </w:rPr>
            </w:pPr>
            <w:r>
              <w:rPr>
                <w:rFonts w:eastAsia="Times New Roman" w:cs="Calibri" w:ascii="Calibri" w:hAnsi="Calibri"/>
                <w:b/>
                <w:bCs/>
              </w:rPr>
              <w:t>Liczba NK</w:t>
            </w:r>
          </w:p>
          <w:p>
            <w:pPr>
              <w:pStyle w:val="Zawartotabeli"/>
              <w:widowControl w:val="false"/>
              <w:spacing w:lineRule="auto" w:line="276"/>
              <w:jc w:val="center"/>
              <w:rPr>
                <w:rFonts w:ascii="Calibri" w:hAnsi="Calibri" w:eastAsia="Times New Roman" w:cs="Calibri"/>
                <w:b/>
                <w:bCs/>
              </w:rPr>
            </w:pPr>
            <w:r>
              <w:rPr>
                <w:rFonts w:eastAsia="Times New Roman" w:cs="Calibri" w:ascii="Calibri" w:hAnsi="Calibri"/>
                <w:b/>
                <w:bCs/>
              </w:rPr>
              <w:t>rozpoczęta w 2025 roku</w:t>
            </w:r>
          </w:p>
        </w:tc>
      </w:tr>
      <w:tr>
        <w:trPr/>
        <w:tc>
          <w:tcPr>
            <w:tcW w:w="4938" w:type="dxa"/>
            <w:tcBorders>
              <w:start w:val="single" w:sz="6" w:space="0" w:color="000000"/>
              <w:bottom w:val="single" w:sz="6" w:space="0" w:color="000000"/>
            </w:tcBorders>
            <w:shd w:fill="ACB20C" w:val="clear"/>
            <w:vAlign w:val="center"/>
          </w:tcPr>
          <w:p>
            <w:pPr>
              <w:pStyle w:val="Zawartotabeli"/>
              <w:widowControl w:val="false"/>
              <w:spacing w:lineRule="auto" w:line="276"/>
              <w:jc w:val="center"/>
              <w:rPr>
                <w:rFonts w:ascii="Calibri" w:hAnsi="Calibri" w:eastAsia="Times New Roman" w:cs="Calibri"/>
              </w:rPr>
            </w:pPr>
            <w:r>
              <w:rPr>
                <w:rFonts w:eastAsia="Times New Roman" w:cs="Calibri" w:ascii="Calibri" w:hAnsi="Calibri"/>
              </w:rPr>
              <w:t>MOPS</w:t>
            </w:r>
          </w:p>
        </w:tc>
        <w:tc>
          <w:tcPr>
            <w:tcW w:w="4707" w:type="dxa"/>
            <w:tcBorders>
              <w:start w:val="single" w:sz="6" w:space="0" w:color="000000"/>
              <w:bottom w:val="single" w:sz="6" w:space="0" w:color="000000"/>
              <w:end w:val="single" w:sz="6" w:space="0" w:color="000000"/>
            </w:tcBorders>
            <w:shd w:fill="FFFF38" w:val="clear"/>
            <w:vAlign w:val="center"/>
          </w:tcPr>
          <w:p>
            <w:pPr>
              <w:pStyle w:val="Zawartotabeli"/>
              <w:widowControl w:val="false"/>
              <w:spacing w:lineRule="auto" w:line="276"/>
              <w:jc w:val="center"/>
              <w:rPr>
                <w:rFonts w:ascii="Calibri" w:hAnsi="Calibri" w:eastAsia="Times New Roman" w:cs="Calibri"/>
                <w:b/>
                <w:bCs/>
              </w:rPr>
            </w:pPr>
            <w:r>
              <w:rPr>
                <w:rFonts w:eastAsia="Times New Roman" w:cs="Calibri" w:ascii="Calibri" w:hAnsi="Calibri"/>
                <w:b/>
                <w:bCs/>
              </w:rPr>
              <w:t>9</w:t>
            </w:r>
          </w:p>
        </w:tc>
      </w:tr>
      <w:tr>
        <w:trPr/>
        <w:tc>
          <w:tcPr>
            <w:tcW w:w="4938" w:type="dxa"/>
            <w:tcBorders>
              <w:start w:val="single" w:sz="6" w:space="0" w:color="000000"/>
              <w:bottom w:val="single" w:sz="6" w:space="0" w:color="000000"/>
            </w:tcBorders>
            <w:shd w:fill="ACB20C" w:val="clear"/>
            <w:vAlign w:val="center"/>
          </w:tcPr>
          <w:p>
            <w:pPr>
              <w:pStyle w:val="Zawartotabeli"/>
              <w:widowControl w:val="false"/>
              <w:spacing w:lineRule="auto" w:line="276"/>
              <w:jc w:val="center"/>
              <w:rPr>
                <w:rFonts w:ascii="Calibri" w:hAnsi="Calibri" w:eastAsia="Times New Roman" w:cs="Calibri"/>
              </w:rPr>
            </w:pPr>
            <w:r>
              <w:rPr>
                <w:rFonts w:eastAsia="Times New Roman" w:cs="Calibri" w:ascii="Calibri" w:hAnsi="Calibri"/>
              </w:rPr>
              <w:t>KPP</w:t>
            </w:r>
          </w:p>
        </w:tc>
        <w:tc>
          <w:tcPr>
            <w:tcW w:w="4707" w:type="dxa"/>
            <w:tcBorders>
              <w:start w:val="single" w:sz="6" w:space="0" w:color="000000"/>
              <w:bottom w:val="single" w:sz="6" w:space="0" w:color="000000"/>
              <w:end w:val="single" w:sz="6" w:space="0" w:color="000000"/>
            </w:tcBorders>
            <w:shd w:fill="FFFF38" w:val="clear"/>
            <w:vAlign w:val="center"/>
          </w:tcPr>
          <w:p>
            <w:pPr>
              <w:pStyle w:val="Zawartotabeli"/>
              <w:widowControl w:val="false"/>
              <w:spacing w:lineRule="auto" w:line="276"/>
              <w:jc w:val="center"/>
              <w:rPr>
                <w:rFonts w:ascii="Calibri" w:hAnsi="Calibri" w:eastAsia="Times New Roman" w:cs="Calibri"/>
                <w:b/>
                <w:bCs/>
              </w:rPr>
            </w:pPr>
            <w:r>
              <w:rPr>
                <w:rFonts w:eastAsia="Times New Roman" w:cs="Calibri" w:ascii="Calibri" w:hAnsi="Calibri"/>
                <w:b/>
                <w:bCs/>
              </w:rPr>
              <w:t>177</w:t>
            </w:r>
          </w:p>
        </w:tc>
      </w:tr>
      <w:tr>
        <w:trPr/>
        <w:tc>
          <w:tcPr>
            <w:tcW w:w="4938" w:type="dxa"/>
            <w:tcBorders>
              <w:start w:val="single" w:sz="6" w:space="0" w:color="000000"/>
              <w:bottom w:val="single" w:sz="6" w:space="0" w:color="000000"/>
            </w:tcBorders>
            <w:shd w:fill="ACB20C" w:val="clear"/>
            <w:vAlign w:val="center"/>
          </w:tcPr>
          <w:p>
            <w:pPr>
              <w:pStyle w:val="Zawartotabeli"/>
              <w:widowControl w:val="false"/>
              <w:spacing w:lineRule="auto" w:line="276"/>
              <w:jc w:val="center"/>
              <w:rPr>
                <w:rFonts w:ascii="Calibri" w:hAnsi="Calibri" w:eastAsia="Times New Roman" w:cs="Calibri"/>
              </w:rPr>
            </w:pPr>
            <w:r>
              <w:rPr>
                <w:rFonts w:eastAsia="Times New Roman" w:cs="Calibri" w:ascii="Calibri" w:hAnsi="Calibri"/>
              </w:rPr>
              <w:t>MKRPA</w:t>
            </w:r>
          </w:p>
        </w:tc>
        <w:tc>
          <w:tcPr>
            <w:tcW w:w="4707" w:type="dxa"/>
            <w:tcBorders>
              <w:start w:val="single" w:sz="6" w:space="0" w:color="000000"/>
              <w:bottom w:val="single" w:sz="6" w:space="0" w:color="000000"/>
              <w:end w:val="single" w:sz="6" w:space="0" w:color="000000"/>
            </w:tcBorders>
            <w:shd w:fill="FFFF38" w:val="clear"/>
            <w:vAlign w:val="center"/>
          </w:tcPr>
          <w:p>
            <w:pPr>
              <w:pStyle w:val="Zawartotabeli"/>
              <w:widowControl w:val="false"/>
              <w:spacing w:lineRule="auto" w:line="276"/>
              <w:jc w:val="center"/>
              <w:rPr>
                <w:rFonts w:ascii="Calibri" w:hAnsi="Calibri" w:eastAsia="Times New Roman" w:cs="Calibri"/>
                <w:b/>
                <w:bCs/>
              </w:rPr>
            </w:pPr>
            <w:r>
              <w:rPr>
                <w:rFonts w:eastAsia="Times New Roman" w:cs="Calibri" w:ascii="Calibri" w:hAnsi="Calibri"/>
                <w:b/>
                <w:bCs/>
              </w:rPr>
              <w:t>0</w:t>
            </w:r>
          </w:p>
        </w:tc>
      </w:tr>
      <w:tr>
        <w:trPr/>
        <w:tc>
          <w:tcPr>
            <w:tcW w:w="4938" w:type="dxa"/>
            <w:tcBorders>
              <w:start w:val="single" w:sz="6" w:space="0" w:color="000000"/>
              <w:bottom w:val="single" w:sz="6" w:space="0" w:color="000000"/>
            </w:tcBorders>
            <w:shd w:fill="ACB20C" w:val="clear"/>
            <w:vAlign w:val="center"/>
          </w:tcPr>
          <w:p>
            <w:pPr>
              <w:pStyle w:val="Zawartotabeli"/>
              <w:widowControl w:val="false"/>
              <w:spacing w:lineRule="auto" w:line="276"/>
              <w:jc w:val="center"/>
              <w:rPr>
                <w:rFonts w:ascii="Calibri" w:hAnsi="Calibri" w:eastAsia="Times New Roman" w:cs="Calibri"/>
              </w:rPr>
            </w:pPr>
            <w:r>
              <w:rPr>
                <w:rFonts w:eastAsia="Times New Roman" w:cs="Calibri" w:ascii="Calibri" w:hAnsi="Calibri"/>
              </w:rPr>
              <w:t>Oświata</w:t>
            </w:r>
          </w:p>
        </w:tc>
        <w:tc>
          <w:tcPr>
            <w:tcW w:w="4707" w:type="dxa"/>
            <w:tcBorders>
              <w:start w:val="single" w:sz="6" w:space="0" w:color="000000"/>
              <w:bottom w:val="single" w:sz="6" w:space="0" w:color="000000"/>
              <w:end w:val="single" w:sz="6" w:space="0" w:color="000000"/>
            </w:tcBorders>
            <w:shd w:fill="FFFF38" w:val="clear"/>
            <w:vAlign w:val="center"/>
          </w:tcPr>
          <w:p>
            <w:pPr>
              <w:pStyle w:val="Zawartotabeli"/>
              <w:widowControl w:val="false"/>
              <w:spacing w:lineRule="auto" w:line="276"/>
              <w:jc w:val="center"/>
              <w:rPr>
                <w:rFonts w:ascii="Calibri" w:hAnsi="Calibri" w:eastAsia="Times New Roman" w:cs="Calibri"/>
                <w:b/>
                <w:bCs/>
              </w:rPr>
            </w:pPr>
            <w:r>
              <w:rPr>
                <w:rFonts w:eastAsia="Times New Roman" w:cs="Calibri" w:ascii="Calibri" w:hAnsi="Calibri"/>
                <w:b/>
                <w:bCs/>
              </w:rPr>
              <w:t>2</w:t>
            </w:r>
          </w:p>
        </w:tc>
      </w:tr>
      <w:tr>
        <w:trPr/>
        <w:tc>
          <w:tcPr>
            <w:tcW w:w="4938" w:type="dxa"/>
            <w:tcBorders>
              <w:start w:val="single" w:sz="6" w:space="0" w:color="000000"/>
              <w:bottom w:val="single" w:sz="6" w:space="0" w:color="000000"/>
            </w:tcBorders>
            <w:shd w:fill="ACB20C" w:val="clear"/>
            <w:vAlign w:val="center"/>
          </w:tcPr>
          <w:p>
            <w:pPr>
              <w:pStyle w:val="Zawartotabeli"/>
              <w:widowControl w:val="false"/>
              <w:spacing w:lineRule="auto" w:line="276"/>
              <w:jc w:val="center"/>
              <w:rPr>
                <w:rFonts w:ascii="Calibri" w:hAnsi="Calibri" w:eastAsia="Times New Roman" w:cs="Calibri"/>
              </w:rPr>
            </w:pPr>
            <w:r>
              <w:rPr>
                <w:rFonts w:eastAsia="Times New Roman" w:cs="Calibri" w:ascii="Calibri" w:hAnsi="Calibri"/>
              </w:rPr>
              <w:t>Służba zdrowia</w:t>
            </w:r>
          </w:p>
        </w:tc>
        <w:tc>
          <w:tcPr>
            <w:tcW w:w="4707" w:type="dxa"/>
            <w:tcBorders>
              <w:start w:val="single" w:sz="6" w:space="0" w:color="000000"/>
              <w:bottom w:val="single" w:sz="6" w:space="0" w:color="000000"/>
              <w:end w:val="single" w:sz="6" w:space="0" w:color="000000"/>
            </w:tcBorders>
            <w:shd w:fill="FFFF38" w:val="clear"/>
            <w:vAlign w:val="center"/>
          </w:tcPr>
          <w:p>
            <w:pPr>
              <w:pStyle w:val="Zawartotabeli"/>
              <w:widowControl w:val="false"/>
              <w:spacing w:lineRule="auto" w:line="276"/>
              <w:jc w:val="center"/>
              <w:rPr>
                <w:rFonts w:ascii="Calibri" w:hAnsi="Calibri" w:eastAsia="Times New Roman" w:cs="Calibri"/>
                <w:b/>
                <w:bCs/>
              </w:rPr>
            </w:pPr>
            <w:r>
              <w:rPr>
                <w:rFonts w:eastAsia="Times New Roman" w:cs="Calibri" w:ascii="Calibri" w:hAnsi="Calibri"/>
                <w:b/>
                <w:bCs/>
              </w:rPr>
              <w:t>1</w:t>
            </w:r>
          </w:p>
        </w:tc>
      </w:tr>
      <w:tr>
        <w:trPr/>
        <w:tc>
          <w:tcPr>
            <w:tcW w:w="4938" w:type="dxa"/>
            <w:tcBorders>
              <w:start w:val="single" w:sz="6" w:space="0" w:color="000000"/>
              <w:bottom w:val="single" w:sz="6" w:space="0" w:color="000000"/>
            </w:tcBorders>
            <w:shd w:fill="ACB20C" w:val="clear"/>
            <w:vAlign w:val="center"/>
          </w:tcPr>
          <w:p>
            <w:pPr>
              <w:pStyle w:val="Zawartotabeli"/>
              <w:widowControl w:val="false"/>
              <w:spacing w:lineRule="auto" w:line="276"/>
              <w:jc w:val="center"/>
              <w:rPr>
                <w:rFonts w:ascii="Calibri" w:hAnsi="Calibri" w:eastAsia="Times New Roman" w:cs="Calibri"/>
              </w:rPr>
            </w:pPr>
            <w:r>
              <w:rPr>
                <w:rFonts w:eastAsia="Times New Roman" w:cs="Calibri" w:ascii="Calibri" w:hAnsi="Calibri"/>
              </w:rPr>
              <w:t>PCPR, Dom dziecka</w:t>
            </w:r>
          </w:p>
        </w:tc>
        <w:tc>
          <w:tcPr>
            <w:tcW w:w="4707" w:type="dxa"/>
            <w:tcBorders>
              <w:start w:val="single" w:sz="6" w:space="0" w:color="000000"/>
              <w:bottom w:val="single" w:sz="6" w:space="0" w:color="000000"/>
              <w:end w:val="single" w:sz="6" w:space="0" w:color="000000"/>
            </w:tcBorders>
            <w:shd w:fill="FFFF38" w:val="clear"/>
            <w:vAlign w:val="center"/>
          </w:tcPr>
          <w:p>
            <w:pPr>
              <w:pStyle w:val="Zawartotabeli"/>
              <w:widowControl w:val="false"/>
              <w:spacing w:lineRule="auto" w:line="276"/>
              <w:jc w:val="center"/>
              <w:rPr>
                <w:rFonts w:ascii="Calibri" w:hAnsi="Calibri" w:eastAsia="Times New Roman" w:cs="Calibri"/>
                <w:b/>
                <w:bCs/>
              </w:rPr>
            </w:pPr>
            <w:r>
              <w:rPr>
                <w:rFonts w:eastAsia="Times New Roman" w:cs="Calibri" w:ascii="Calibri" w:hAnsi="Calibri"/>
                <w:b/>
                <w:bCs/>
              </w:rPr>
              <w:t>0</w:t>
            </w:r>
          </w:p>
        </w:tc>
      </w:tr>
      <w:tr>
        <w:trPr/>
        <w:tc>
          <w:tcPr>
            <w:tcW w:w="4938" w:type="dxa"/>
            <w:tcBorders>
              <w:start w:val="single" w:sz="6" w:space="0" w:color="000000"/>
              <w:bottom w:val="single" w:sz="6" w:space="0" w:color="000000"/>
            </w:tcBorders>
            <w:shd w:fill="ACB20C" w:val="clear"/>
            <w:vAlign w:val="center"/>
          </w:tcPr>
          <w:p>
            <w:pPr>
              <w:pStyle w:val="Zawartotabeli"/>
              <w:widowControl w:val="false"/>
              <w:spacing w:lineRule="auto" w:line="276"/>
              <w:jc w:val="center"/>
              <w:rPr>
                <w:rFonts w:ascii="Calibri" w:hAnsi="Calibri" w:eastAsia="Times New Roman" w:cs="Calibri"/>
              </w:rPr>
            </w:pPr>
            <w:r>
              <w:rPr>
                <w:rFonts w:eastAsia="Times New Roman" w:cs="Calibri" w:ascii="Calibri" w:hAnsi="Calibri"/>
              </w:rPr>
              <w:t>ŻW</w:t>
            </w:r>
          </w:p>
        </w:tc>
        <w:tc>
          <w:tcPr>
            <w:tcW w:w="4707" w:type="dxa"/>
            <w:tcBorders>
              <w:start w:val="single" w:sz="6" w:space="0" w:color="000000"/>
              <w:bottom w:val="single" w:sz="6" w:space="0" w:color="000000"/>
              <w:end w:val="single" w:sz="6" w:space="0" w:color="000000"/>
            </w:tcBorders>
            <w:shd w:fill="FFFF38" w:val="clear"/>
            <w:vAlign w:val="center"/>
          </w:tcPr>
          <w:p>
            <w:pPr>
              <w:pStyle w:val="Zawartotabeli"/>
              <w:widowControl w:val="false"/>
              <w:spacing w:lineRule="auto" w:line="276"/>
              <w:jc w:val="center"/>
              <w:rPr>
                <w:rFonts w:ascii="Calibri" w:hAnsi="Calibri" w:eastAsia="Times New Roman" w:cs="Calibri"/>
                <w:b/>
                <w:bCs/>
              </w:rPr>
            </w:pPr>
            <w:r>
              <w:rPr>
                <w:rFonts w:eastAsia="Times New Roman" w:cs="Calibri" w:ascii="Calibri" w:hAnsi="Calibri"/>
                <w:b/>
                <w:bCs/>
              </w:rPr>
              <w:t>1</w:t>
            </w:r>
          </w:p>
        </w:tc>
      </w:tr>
      <w:tr>
        <w:trPr/>
        <w:tc>
          <w:tcPr>
            <w:tcW w:w="4938" w:type="dxa"/>
            <w:tcBorders>
              <w:start w:val="single" w:sz="6" w:space="0" w:color="000000"/>
              <w:bottom w:val="single" w:sz="6" w:space="0" w:color="000000"/>
            </w:tcBorders>
            <w:shd w:fill="FF0000" w:val="clear"/>
            <w:vAlign w:val="center"/>
          </w:tcPr>
          <w:p>
            <w:pPr>
              <w:pStyle w:val="Zawartotabeli"/>
              <w:widowControl w:val="false"/>
              <w:spacing w:lineRule="auto" w:line="276"/>
              <w:jc w:val="center"/>
              <w:rPr>
                <w:rFonts w:ascii="Calibri" w:hAnsi="Calibri" w:eastAsia="Times New Roman" w:cs="Calibri"/>
                <w:b/>
                <w:bCs/>
                <w:i/>
                <w:iCs/>
              </w:rPr>
            </w:pPr>
            <w:r>
              <w:rPr>
                <w:rFonts w:eastAsia="Times New Roman" w:cs="Calibri" w:ascii="Calibri" w:hAnsi="Calibri"/>
                <w:b/>
                <w:bCs/>
                <w:i/>
                <w:iCs/>
              </w:rPr>
              <w:t>Razem</w:t>
            </w:r>
          </w:p>
        </w:tc>
        <w:tc>
          <w:tcPr>
            <w:tcW w:w="4707" w:type="dxa"/>
            <w:tcBorders>
              <w:start w:val="single" w:sz="6" w:space="0" w:color="000000"/>
              <w:bottom w:val="single" w:sz="6" w:space="0" w:color="000000"/>
              <w:end w:val="single" w:sz="6" w:space="0" w:color="000000"/>
            </w:tcBorders>
            <w:shd w:fill="FF0000" w:val="clear"/>
            <w:vAlign w:val="center"/>
          </w:tcPr>
          <w:p>
            <w:pPr>
              <w:pStyle w:val="Zawartotabeli"/>
              <w:widowControl w:val="false"/>
              <w:spacing w:lineRule="auto" w:line="276"/>
              <w:jc w:val="center"/>
              <w:rPr>
                <w:rFonts w:ascii="Calibri" w:hAnsi="Calibri" w:eastAsia="Times New Roman" w:cs="Calibri"/>
                <w:b/>
                <w:bCs/>
                <w:i/>
                <w:iCs/>
              </w:rPr>
            </w:pPr>
            <w:r>
              <w:rPr>
                <w:rFonts w:eastAsia="Times New Roman" w:cs="Calibri" w:ascii="Calibri" w:hAnsi="Calibri"/>
                <w:b/>
                <w:bCs/>
                <w:i/>
                <w:iCs/>
              </w:rPr>
              <w:t>190</w:t>
            </w:r>
          </w:p>
        </w:tc>
      </w:tr>
    </w:tbl>
    <w:p>
      <w:pPr>
        <w:pStyle w:val="Default"/>
        <w:widowControl w:val="false"/>
        <w:spacing w:lineRule="auto" w:line="276"/>
        <w:rPr>
          <w:rFonts w:ascii="Calibri" w:hAnsi="Calibri" w:cs="Calibri"/>
          <w:b/>
          <w:bCs/>
          <w:i/>
          <w:iCs/>
          <w:sz w:val="23"/>
        </w:rPr>
      </w:pPr>
      <w:r>
        <w:rPr>
          <w:rFonts w:cs="Calibri" w:ascii="Calibri" w:hAnsi="Calibri"/>
          <w:b/>
          <w:bCs/>
          <w:i/>
          <w:iCs/>
          <w:sz w:val="23"/>
        </w:rPr>
      </w:r>
    </w:p>
    <w:p>
      <w:pPr>
        <w:pStyle w:val="Default"/>
        <w:widowControl w:val="false"/>
        <w:spacing w:lineRule="auto" w:line="360"/>
        <w:jc w:val="both"/>
        <w:rPr>
          <w:rFonts w:ascii="Calibri" w:hAnsi="Calibri" w:cs="Calibri"/>
        </w:rPr>
      </w:pPr>
      <w:r>
        <w:rPr>
          <w:rFonts w:cs="Calibri" w:ascii="Calibri" w:hAnsi="Calibri"/>
        </w:rPr>
        <w:tab/>
        <w:t>Istotną rolę w realizacji tych zadań odgrywały Grupy diagnostyczno-pomocowe, które realizowały zadania związane z prowadzeniem procedury „Niebieskiej Karty”, opracowywaniem                    i wdrażaniem planów pomocy oraz monitorowaniem sytuacji rodzin.</w:t>
      </w:r>
    </w:p>
    <w:p>
      <w:pPr>
        <w:pStyle w:val="Default"/>
        <w:widowControl w:val="false"/>
        <w:spacing w:lineRule="auto" w:line="360"/>
        <w:jc w:val="both"/>
        <w:rPr/>
      </w:pPr>
      <w:r>
        <w:rPr>
          <w:rStyle w:val="Domylnaczcionkaakapitu"/>
          <w:rFonts w:cs="Calibri" w:ascii="Calibri" w:hAnsi="Calibri"/>
        </w:rPr>
        <w:t xml:space="preserve">W roku 2025 odbyło się 807 posiedzeń grup. </w:t>
      </w:r>
      <w:r>
        <w:rPr>
          <w:rStyle w:val="Domylnaczcionkaakapitu"/>
          <w:rFonts w:eastAsia="Times New Roman" w:cs="Calibri" w:ascii="Calibri" w:hAnsi="Calibri"/>
        </w:rPr>
        <w:t xml:space="preserve">Podejmowane działania pomocowo-interwencyjne </w:t>
        <w:br/>
        <w:t>w ramach procedury NK w większości przypadków były uzasadnione i wymagały intensywnego zaangażowania oraz szeregu działań ze strony służb w celu przeciwdziałania przemocy.</w:t>
      </w:r>
    </w:p>
    <w:p>
      <w:pPr>
        <w:pStyle w:val="Default"/>
        <w:widowControl w:val="false"/>
        <w:spacing w:lineRule="auto" w:line="360"/>
        <w:jc w:val="both"/>
        <w:rPr>
          <w:rFonts w:ascii="Calibri" w:hAnsi="Calibri" w:eastAsia="Times New Roman" w:cs="Calibri"/>
        </w:rPr>
      </w:pPr>
      <w:r>
        <w:rPr>
          <w:rFonts w:eastAsia="Times New Roman" w:cs="Calibri" w:ascii="Calibri" w:hAnsi="Calibri"/>
        </w:rPr>
      </w:r>
    </w:p>
    <w:p>
      <w:pPr>
        <w:pStyle w:val="Default"/>
        <w:widowControl w:val="false"/>
        <w:spacing w:lineRule="auto" w:line="360"/>
        <w:jc w:val="both"/>
        <w:rPr>
          <w:rFonts w:ascii="Calibri" w:hAnsi="Calibri" w:eastAsia="Times New Roman" w:cs="Calibri"/>
        </w:rPr>
      </w:pPr>
      <w:r>
        <w:rPr>
          <w:rFonts w:eastAsia="Times New Roman" w:cs="Calibri" w:ascii="Calibri" w:hAnsi="Calibri"/>
        </w:rPr>
      </w:r>
      <w:r>
        <w:br w:type="page"/>
      </w:r>
    </w:p>
    <w:p>
      <w:pPr>
        <w:pStyle w:val="Default"/>
        <w:widowControl w:val="false"/>
        <w:spacing w:lineRule="auto" w:line="360"/>
        <w:jc w:val="center"/>
        <w:rPr>
          <w:rFonts w:ascii="Calibri" w:hAnsi="Calibri" w:eastAsia="Times New Roman" w:cs="Calibri"/>
          <w:b/>
          <w:bCs/>
          <w:sz w:val="32"/>
          <w:szCs w:val="32"/>
        </w:rPr>
      </w:pPr>
      <w:r>
        <w:rPr>
          <w:rFonts w:eastAsia="Times New Roman" w:cs="Calibri" w:ascii="Calibri" w:hAnsi="Calibri"/>
          <w:b/>
          <w:bCs/>
          <w:sz w:val="32"/>
          <w:szCs w:val="32"/>
        </w:rPr>
        <w:t>X. Podsumowanie</w:t>
      </w:r>
    </w:p>
    <w:p>
      <w:pPr>
        <w:pStyle w:val="Default"/>
        <w:widowControl w:val="false"/>
        <w:spacing w:lineRule="auto" w:line="360"/>
        <w:jc w:val="both"/>
        <w:rPr>
          <w:rFonts w:ascii="Calibri" w:hAnsi="Calibri" w:eastAsia="Times New Roman" w:cs="Calibri"/>
        </w:rPr>
      </w:pPr>
      <w:r>
        <w:rPr>
          <w:rFonts w:eastAsia="Times New Roman" w:cs="Calibri" w:ascii="Calibri" w:hAnsi="Calibri"/>
        </w:rPr>
        <w:tab/>
        <w:t>Działalność Miejskiego Ośrodek Pomocy Społecznej w Tomaszowie Mazowieckim opiera się                   na posiadanych zasobach, wykwalifikowanej kadrze oraz profesjonalnym podejściu do zadań realizowanych w oparciu o obowiązujące przepisy prawa, kierując się potrzebami mieszkańców miasta znajdujących się w trudnych sytuacjach życiowych.</w:t>
      </w:r>
    </w:p>
    <w:p>
      <w:pPr>
        <w:pStyle w:val="Default"/>
        <w:widowControl w:val="false"/>
        <w:spacing w:lineRule="auto" w:line="360"/>
        <w:ind w:firstLine="709"/>
        <w:jc w:val="both"/>
        <w:rPr>
          <w:rFonts w:ascii="Calibri" w:hAnsi="Calibri" w:eastAsia="Times New Roman" w:cs="Calibri"/>
        </w:rPr>
      </w:pPr>
      <w:r>
        <w:rPr>
          <w:rFonts w:eastAsia="Times New Roman" w:cs="Calibri" w:ascii="Calibri" w:hAnsi="Calibri"/>
        </w:rPr>
        <w:t>Udzielana pomoc ma charakter zarówno materialny, jak i niematerialny a jej celem jest wspieranie osób i rodzin w przezwyciężaniu problemów, których nie są one w stanie rozwiązać samodzielnie, przy jednoczesnym wzmacnianiu ich samodzielności i odpowiedzialności za własną sytuację życiową.</w:t>
      </w:r>
    </w:p>
    <w:p>
      <w:pPr>
        <w:pStyle w:val="Default"/>
        <w:widowControl w:val="false"/>
        <w:spacing w:lineRule="auto" w:line="360"/>
        <w:ind w:firstLine="709"/>
        <w:jc w:val="both"/>
        <w:rPr/>
      </w:pPr>
      <w:r>
        <w:rPr>
          <w:rStyle w:val="Domylnaczcionkaakapitu"/>
          <w:rFonts w:eastAsia="Times New Roman" w:cs="Calibri" w:ascii="Calibri" w:hAnsi="Calibri"/>
        </w:rPr>
        <w:t xml:space="preserve">W kolejnych latach istotnym wyzwaniem dla Miejskiego Ośrodka Pomocy Społecznej </w:t>
        <w:br/>
        <w:t xml:space="preserve">w Tomaszowie Mazowieckim będzie wzmacnianie środowiskowego systemu wsparcia rodzin, </w:t>
        <w:br/>
        <w:t xml:space="preserve">w szczególności rodzin zagrożonych dysfunkcjami, zwłaszcza z trudnościami wychowawczo-rodzicielskimi oraz podnoszenie standardów usług  kierowanych do </w:t>
      </w:r>
      <w:r>
        <w:rPr>
          <w:rStyle w:val="Domylnaczcionkaakapitu"/>
          <w:rFonts w:ascii="Calibri" w:hAnsi="Calibri"/>
        </w:rPr>
        <w:t xml:space="preserve">osób starszych i osób </w:t>
        <w:br/>
        <w:t xml:space="preserve">z niepełnosprawnościami.  </w:t>
      </w:r>
    </w:p>
    <w:p>
      <w:pPr>
        <w:pStyle w:val="Default"/>
        <w:widowControl w:val="false"/>
        <w:spacing w:lineRule="auto" w:line="360"/>
        <w:ind w:firstLine="709"/>
        <w:jc w:val="both"/>
        <w:rPr/>
      </w:pPr>
      <w:r>
        <w:rPr>
          <w:rStyle w:val="Domylnaczcionkaakapitu"/>
          <w:rFonts w:ascii="Calibri" w:hAnsi="Calibri"/>
        </w:rPr>
        <w:t xml:space="preserve">Kluczowe znaczenie będzie miała intensyfikacja pracy z rodzinami w celu zapobiegania umieszczaniu dzieci w pieczy zastępczej oraz dalsze podejmowanie działań obejmujących profilaktykę i zapobieganie eskalacji zjawiska przemocy.  </w:t>
      </w:r>
    </w:p>
    <w:sectPr>
      <w:footerReference w:type="default" r:id="rId3"/>
      <w:type w:val="nextPage"/>
      <w:pgSz w:w="11906" w:h="16838"/>
      <w:pgMar w:left="1134" w:right="1134" w:gutter="0" w:header="0" w:top="708" w:footer="708" w:bottom="1134"/>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Liberation Serif">
    <w:altName w:val="Times New Roman"/>
    <w:charset w:val="ee" w:characterSet="windows-1250"/>
    <w:family w:val="roman"/>
    <w:pitch w:val="variable"/>
  </w:font>
  <w:font w:name="Liberation Serif">
    <w:altName w:val="Times New Roman"/>
    <w:charset w:val="ee" w:characterSet="windows-1250"/>
    <w:family w:val="auto"/>
    <w:pitch w:val="default"/>
  </w:font>
  <w:font w:name="Times New Roman">
    <w:charset w:val="ee" w:characterSet="windows-1250"/>
    <w:family w:val="roman"/>
    <w:pitch w:val="variable"/>
  </w:font>
  <w:font w:name="OpenSymbol">
    <w:altName w:val="Arial Unicode MS"/>
    <w:charset w:val="ee" w:characterSet="windows-1250"/>
    <w:family w:val="auto"/>
    <w:pitch w:val="variable"/>
  </w:font>
  <w:font w:name="OpenSymbol">
    <w:altName w:val="Arial Unicode MS"/>
    <w:charset w:val="ee" w:characterSet="windows-1250"/>
    <w:family w:val="auto"/>
    <w:pitch w:val="default"/>
  </w:font>
  <w:font w:name="Liberation Sans">
    <w:altName w:val="Arial"/>
    <w:charset w:val="ee" w:characterSet="windows-1250"/>
    <w:family w:val="swiss"/>
    <w:pitch w:val="variable"/>
  </w:font>
  <w:font w:name="Thorndale">
    <w:altName w:val="Times New Roman"/>
    <w:charset w:val="ee" w:characterSet="windows-1250"/>
    <w:family w:val="roman"/>
    <w:pitch w:val="variable"/>
  </w:font>
  <w:font w:name="Aptos">
    <w:charset w:val="ee" w:characterSet="windows-1250"/>
    <w:family w:val="swiss"/>
    <w:pitch w:val="variable"/>
  </w:font>
  <w:font w:name="Mangal">
    <w:charset w:val="ee" w:characterSet="windows-1250"/>
    <w:family w:val="roman"/>
    <w:pitch w:val="variable"/>
  </w:font>
  <w:font w:name="Calibri">
    <w:charset w:val="ee" w:characterSet="windows-1250"/>
    <w:family w:val="swiss"/>
    <w:pitch w:val="variable"/>
  </w:font>
  <w:font w:name="OpenSymbol">
    <w:altName w:val="Arial Unicode MS"/>
    <w:charset w:val="01"/>
    <w:family w:val="auto"/>
    <w:pitch w:val="default"/>
  </w:font>
  <w:font w:name="Symbol">
    <w:charset w:val="02"/>
    <w:family w:val="auto"/>
    <w:pitch w:val="variable"/>
  </w:font>
  <w:font w:name="OpenSymbol">
    <w:altName w:val="Arial Unicode MS"/>
    <w:charset w:val="01"/>
    <w:family w:val="auto"/>
    <w:pitch w:val="variable"/>
  </w:font>
  <w:font w:name="Symbol">
    <w:charset w:val="02"/>
    <w:family w:val="auto"/>
    <w:pitch w:val="default"/>
  </w:font>
  <w:font w:name="Wingdings">
    <w:charset w:val="02"/>
    <w:family w:val="auto"/>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Stopkauser"/>
      <w:jc w:val="center"/>
      <w:rPr/>
    </w:pPr>
    <w:bookmarkStart w:id="2" w:name="PageNumWizard_FOOTER_Domyślny_styl_stron"/>
    <w:r>
      <w:rPr/>
      <w:fldChar w:fldCharType="begin"/>
    </w:r>
    <w:r>
      <w:rPr/>
      <w:instrText xml:space="preserve"> PAGE </w:instrText>
    </w:r>
    <w:r>
      <w:rPr/>
      <w:fldChar w:fldCharType="separate"/>
    </w:r>
    <w:r>
      <w:rPr/>
      <w:t>1</w:t>
    </w:r>
    <w:r>
      <w:rPr/>
      <w:fldChar w:fldCharType="end"/>
    </w:r>
    <w:bookmarkEnd w:id="2"/>
  </w:p>
</w:ft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pStyle w:val="Nagwek1user"/>
      <w:lvlText w:val="%1."/>
      <w:lvlJc w:val="start"/>
      <w:pPr>
        <w:tabs>
          <w:tab w:val="num" w:pos="0"/>
        </w:tabs>
        <w:ind w:start="720" w:hanging="360"/>
      </w:pPr>
      <w:rPr>
        <w:rFonts w:cs="OpenSymbol"/>
        <w:b w:val="false"/>
      </w:rPr>
    </w:lvl>
    <w:lvl w:ilvl="1">
      <w:start w:val="1"/>
      <w:numFmt w:val="none"/>
      <w:pStyle w:val="Nagwek2user"/>
      <w:suff w:val="nothing"/>
      <w:lvlText w:val="%2"/>
      <w:lvlJc w:val="start"/>
      <w:pPr>
        <w:tabs>
          <w:tab w:val="num" w:pos="0"/>
        </w:tabs>
        <w:ind w:start="0" w:hanging="0"/>
      </w:pPr>
    </w:lvl>
    <w:lvl w:ilvl="2">
      <w:start w:val="1"/>
      <w:numFmt w:val="none"/>
      <w:pStyle w:val="Nagwek3user"/>
      <w:suff w:val="nothing"/>
      <w:lvlText w:val="%3"/>
      <w:lvlJc w:val="start"/>
      <w:pPr>
        <w:tabs>
          <w:tab w:val="num" w:pos="0"/>
        </w:tabs>
        <w:ind w:start="0" w:hanging="0"/>
      </w:pPr>
    </w:lvl>
    <w:lvl w:ilvl="3">
      <w:start w:val="1"/>
      <w:numFmt w:val="none"/>
      <w:suff w:val="nothing"/>
      <w:lvlText w:val="%4"/>
      <w:lvlJc w:val="start"/>
      <w:pPr>
        <w:tabs>
          <w:tab w:val="num" w:pos="0"/>
        </w:tabs>
        <w:ind w:start="0" w:hanging="0"/>
      </w:pPr>
    </w:lvl>
    <w:lvl w:ilvl="4">
      <w:start w:val="1"/>
      <w:numFmt w:val="none"/>
      <w:suff w:val="nothing"/>
      <w:lvlText w:val="%5"/>
      <w:lvlJc w:val="start"/>
      <w:pPr>
        <w:tabs>
          <w:tab w:val="num" w:pos="0"/>
        </w:tabs>
        <w:ind w:start="0" w:hanging="0"/>
      </w:pPr>
    </w:lvl>
    <w:lvl w:ilvl="5">
      <w:start w:val="1"/>
      <w:numFmt w:val="none"/>
      <w:suff w:val="nothing"/>
      <w:lvlText w:val="%6"/>
      <w:lvlJc w:val="start"/>
      <w:pPr>
        <w:tabs>
          <w:tab w:val="num" w:pos="0"/>
        </w:tabs>
        <w:ind w:start="0" w:hanging="0"/>
      </w:pPr>
    </w:lvl>
    <w:lvl w:ilvl="6">
      <w:start w:val="1"/>
      <w:numFmt w:val="none"/>
      <w:suff w:val="nothing"/>
      <w:lvlText w:val="%7"/>
      <w:lvlJc w:val="start"/>
      <w:pPr>
        <w:tabs>
          <w:tab w:val="num" w:pos="0"/>
        </w:tabs>
        <w:ind w:start="0" w:hanging="0"/>
      </w:pPr>
    </w:lvl>
    <w:lvl w:ilvl="7">
      <w:start w:val="1"/>
      <w:numFmt w:val="none"/>
      <w:suff w:val="nothing"/>
      <w:lvlText w:val="%8"/>
      <w:lvlJc w:val="start"/>
      <w:pPr>
        <w:tabs>
          <w:tab w:val="num" w:pos="0"/>
        </w:tabs>
        <w:ind w:start="0" w:hanging="0"/>
      </w:pPr>
    </w:lvl>
    <w:lvl w:ilvl="8">
      <w:start w:val="1"/>
      <w:numFmt w:val="none"/>
      <w:suff w:val="nothing"/>
      <w:lvlText w:val="%9"/>
      <w:lvlJc w:val="start"/>
      <w:pPr>
        <w:tabs>
          <w:tab w:val="num" w:pos="0"/>
        </w:tabs>
        <w:ind w:start="0" w:hanging="0"/>
      </w:pPr>
    </w:lvl>
  </w:abstractNum>
  <w:abstractNum w:abstractNumId="2">
    <w:lvl w:ilvl="0">
      <w:start w:val="1"/>
      <w:numFmt w:val="none"/>
      <w:suff w:val="nothing"/>
      <w:lvlText w:val="%1"/>
      <w:lvlJc w:val="start"/>
      <w:pPr>
        <w:tabs>
          <w:tab w:val="num" w:pos="0"/>
        </w:tabs>
        <w:ind w:start="0" w:hanging="0"/>
      </w:pPr>
    </w:lvl>
    <w:lvl w:ilvl="1">
      <w:start w:val="1"/>
      <w:numFmt w:val="none"/>
      <w:suff w:val="nothing"/>
      <w:lvlText w:val="%2"/>
      <w:lvlJc w:val="start"/>
      <w:pPr>
        <w:tabs>
          <w:tab w:val="num" w:pos="0"/>
        </w:tabs>
        <w:ind w:start="0" w:hanging="0"/>
      </w:pPr>
    </w:lvl>
    <w:lvl w:ilvl="2">
      <w:start w:val="1"/>
      <w:numFmt w:val="none"/>
      <w:suff w:val="nothing"/>
      <w:lvlText w:val="%3"/>
      <w:lvlJc w:val="start"/>
      <w:pPr>
        <w:tabs>
          <w:tab w:val="num" w:pos="0"/>
        </w:tabs>
        <w:ind w:start="0" w:hanging="0"/>
      </w:pPr>
    </w:lvl>
    <w:lvl w:ilvl="3">
      <w:start w:val="1"/>
      <w:numFmt w:val="none"/>
      <w:suff w:val="nothing"/>
      <w:lvlText w:val="%4"/>
      <w:lvlJc w:val="start"/>
      <w:pPr>
        <w:tabs>
          <w:tab w:val="num" w:pos="0"/>
        </w:tabs>
        <w:ind w:start="0" w:hanging="0"/>
      </w:pPr>
    </w:lvl>
    <w:lvl w:ilvl="4">
      <w:start w:val="1"/>
      <w:numFmt w:val="none"/>
      <w:suff w:val="nothing"/>
      <w:lvlText w:val="%5"/>
      <w:lvlJc w:val="start"/>
      <w:pPr>
        <w:tabs>
          <w:tab w:val="num" w:pos="0"/>
        </w:tabs>
        <w:ind w:start="0" w:hanging="0"/>
      </w:pPr>
    </w:lvl>
    <w:lvl w:ilvl="5">
      <w:start w:val="1"/>
      <w:numFmt w:val="none"/>
      <w:suff w:val="nothing"/>
      <w:lvlText w:val="%6"/>
      <w:lvlJc w:val="start"/>
      <w:pPr>
        <w:tabs>
          <w:tab w:val="num" w:pos="0"/>
        </w:tabs>
        <w:ind w:start="0" w:hanging="0"/>
      </w:pPr>
    </w:lvl>
    <w:lvl w:ilvl="6">
      <w:start w:val="1"/>
      <w:numFmt w:val="none"/>
      <w:suff w:val="nothing"/>
      <w:lvlText w:val="%7"/>
      <w:lvlJc w:val="start"/>
      <w:pPr>
        <w:tabs>
          <w:tab w:val="num" w:pos="0"/>
        </w:tabs>
        <w:ind w:start="0" w:hanging="0"/>
      </w:pPr>
    </w:lvl>
    <w:lvl w:ilvl="7">
      <w:start w:val="1"/>
      <w:numFmt w:val="none"/>
      <w:suff w:val="nothing"/>
      <w:lvlText w:val="%8"/>
      <w:lvlJc w:val="start"/>
      <w:pPr>
        <w:tabs>
          <w:tab w:val="num" w:pos="0"/>
        </w:tabs>
        <w:ind w:start="0" w:hanging="0"/>
      </w:pPr>
    </w:lvl>
    <w:lvl w:ilvl="8">
      <w:start w:val="1"/>
      <w:numFmt w:val="none"/>
      <w:suff w:val="nothing"/>
      <w:lvlText w:val="%9"/>
      <w:lvlJc w:val="start"/>
      <w:pPr>
        <w:tabs>
          <w:tab w:val="num" w:pos="0"/>
        </w:tabs>
        <w:ind w:start="0" w:hanging="0"/>
      </w:pPr>
    </w:lvl>
  </w:abstractNum>
  <w:abstractNum w:abstractNumId="3">
    <w:lvl w:ilvl="0">
      <w:start w:val="1"/>
      <w:numFmt w:val="bullet"/>
      <w:lvlText w:val="•"/>
      <w:lvlJc w:val="start"/>
      <w:pPr>
        <w:tabs>
          <w:tab w:val="num" w:pos="0"/>
        </w:tabs>
        <w:ind w:start="720" w:hanging="360"/>
      </w:pPr>
      <w:rPr>
        <w:rFonts w:ascii="Times New Roman" w:hAnsi="Times New Roman" w:cs="Times New Roman" w:hint="default"/>
        <w:b w:val="false"/>
      </w:rPr>
    </w:lvl>
    <w:lvl w:ilvl="1">
      <w:start w:val="1"/>
      <w:numFmt w:val="bullet"/>
      <w:lvlText w:val="◦"/>
      <w:lvlJc w:val="start"/>
      <w:pPr>
        <w:tabs>
          <w:tab w:val="num" w:pos="0"/>
        </w:tabs>
        <w:ind w:start="1080" w:hanging="360"/>
      </w:pPr>
      <w:rPr>
        <w:rFonts w:ascii="Times New Roman" w:hAnsi="Times New Roman" w:cs="Times New Roman" w:hint="default"/>
      </w:rPr>
    </w:lvl>
    <w:lvl w:ilvl="2">
      <w:start w:val="1"/>
      <w:numFmt w:val="bullet"/>
      <w:lvlText w:val="▪"/>
      <w:lvlJc w:val="start"/>
      <w:pPr>
        <w:tabs>
          <w:tab w:val="num" w:pos="0"/>
        </w:tabs>
        <w:ind w:start="1440" w:hanging="360"/>
      </w:pPr>
      <w:rPr>
        <w:rFonts w:ascii="Times New Roman" w:hAnsi="Times New Roman" w:cs="Times New Roman" w:hint="default"/>
      </w:rPr>
    </w:lvl>
    <w:lvl w:ilvl="3">
      <w:start w:val="1"/>
      <w:numFmt w:val="bullet"/>
      <w:lvlText w:val="•"/>
      <w:lvlJc w:val="start"/>
      <w:pPr>
        <w:tabs>
          <w:tab w:val="num" w:pos="0"/>
        </w:tabs>
        <w:ind w:start="1800" w:hanging="360"/>
      </w:pPr>
      <w:rPr>
        <w:rFonts w:ascii="Times New Roman" w:hAnsi="Times New Roman" w:cs="Times New Roman" w:hint="default"/>
      </w:rPr>
    </w:lvl>
    <w:lvl w:ilvl="4">
      <w:start w:val="1"/>
      <w:numFmt w:val="bullet"/>
      <w:lvlText w:val="◦"/>
      <w:lvlJc w:val="start"/>
      <w:pPr>
        <w:tabs>
          <w:tab w:val="num" w:pos="0"/>
        </w:tabs>
        <w:ind w:start="2160" w:hanging="360"/>
      </w:pPr>
      <w:rPr>
        <w:rFonts w:ascii="Times New Roman" w:hAnsi="Times New Roman" w:cs="Times New Roman" w:hint="default"/>
      </w:rPr>
    </w:lvl>
    <w:lvl w:ilvl="5">
      <w:start w:val="1"/>
      <w:numFmt w:val="bullet"/>
      <w:lvlText w:val="▪"/>
      <w:lvlJc w:val="start"/>
      <w:pPr>
        <w:tabs>
          <w:tab w:val="num" w:pos="0"/>
        </w:tabs>
        <w:ind w:start="2520" w:hanging="360"/>
      </w:pPr>
      <w:rPr>
        <w:rFonts w:ascii="Times New Roman" w:hAnsi="Times New Roman" w:cs="Times New Roman" w:hint="default"/>
      </w:rPr>
    </w:lvl>
    <w:lvl w:ilvl="6">
      <w:start w:val="1"/>
      <w:numFmt w:val="bullet"/>
      <w:lvlText w:val="•"/>
      <w:lvlJc w:val="start"/>
      <w:pPr>
        <w:tabs>
          <w:tab w:val="num" w:pos="0"/>
        </w:tabs>
        <w:ind w:start="2880" w:hanging="360"/>
      </w:pPr>
      <w:rPr>
        <w:rFonts w:ascii="Times New Roman" w:hAnsi="Times New Roman" w:cs="Times New Roman" w:hint="default"/>
      </w:rPr>
    </w:lvl>
    <w:lvl w:ilvl="7">
      <w:start w:val="1"/>
      <w:numFmt w:val="bullet"/>
      <w:lvlText w:val="◦"/>
      <w:lvlJc w:val="start"/>
      <w:pPr>
        <w:tabs>
          <w:tab w:val="num" w:pos="0"/>
        </w:tabs>
        <w:ind w:start="3240" w:hanging="360"/>
      </w:pPr>
      <w:rPr>
        <w:rFonts w:ascii="Times New Roman" w:hAnsi="Times New Roman" w:cs="Times New Roman" w:hint="default"/>
      </w:rPr>
    </w:lvl>
    <w:lvl w:ilvl="8">
      <w:start w:val="1"/>
      <w:numFmt w:val="bullet"/>
      <w:lvlText w:val="▪"/>
      <w:lvlJc w:val="start"/>
      <w:pPr>
        <w:tabs>
          <w:tab w:val="num" w:pos="0"/>
        </w:tabs>
        <w:ind w:start="3600" w:hanging="360"/>
      </w:pPr>
      <w:rPr>
        <w:rFonts w:ascii="Times New Roman" w:hAnsi="Times New Roman" w:cs="Times New Roman" w:hint="default"/>
      </w:rPr>
    </w:lvl>
  </w:abstractNum>
  <w:abstractNum w:abstractNumId="4">
    <w:lvl w:ilvl="0">
      <w:start w:val="1"/>
      <w:numFmt w:val="bullet"/>
      <w:lvlText w:val=""/>
      <w:lvlJc w:val="start"/>
      <w:pPr>
        <w:tabs>
          <w:tab w:val="num" w:pos="0"/>
        </w:tabs>
        <w:ind w:start="720" w:hanging="360"/>
      </w:pPr>
      <w:rPr>
        <w:rFonts w:ascii="Symbol" w:hAnsi="Symbol" w:cs="Symbol" w:hint="default"/>
      </w:rPr>
    </w:lvl>
    <w:lvl w:ilvl="1">
      <w:start w:val="1"/>
      <w:numFmt w:val="bullet"/>
      <w:lvlText w:val="◦"/>
      <w:lvlJc w:val="start"/>
      <w:pPr>
        <w:tabs>
          <w:tab w:val="num" w:pos="0"/>
        </w:tabs>
        <w:ind w:start="1080" w:hanging="360"/>
      </w:pPr>
      <w:rPr>
        <w:rFonts w:ascii="OpenSymbol" w:hAnsi="OpenSymbol" w:cs="OpenSymbol" w:hint="default"/>
      </w:rPr>
    </w:lvl>
    <w:lvl w:ilvl="2">
      <w:start w:val="1"/>
      <w:numFmt w:val="bullet"/>
      <w:lvlText w:val="▪"/>
      <w:lvlJc w:val="start"/>
      <w:pPr>
        <w:tabs>
          <w:tab w:val="num" w:pos="0"/>
        </w:tabs>
        <w:ind w:start="1440" w:hanging="360"/>
      </w:pPr>
      <w:rPr>
        <w:rFonts w:ascii="OpenSymbol" w:hAnsi="OpenSymbol" w:cs="OpenSymbol" w:hint="default"/>
      </w:rPr>
    </w:lvl>
    <w:lvl w:ilvl="3">
      <w:start w:val="1"/>
      <w:numFmt w:val="bullet"/>
      <w:lvlText w:val=""/>
      <w:lvlJc w:val="start"/>
      <w:pPr>
        <w:tabs>
          <w:tab w:val="num" w:pos="0"/>
        </w:tabs>
        <w:ind w:start="1800" w:hanging="360"/>
      </w:pPr>
      <w:rPr>
        <w:rFonts w:ascii="Symbol" w:hAnsi="Symbol" w:cs="Symbol" w:hint="default"/>
      </w:rPr>
    </w:lvl>
    <w:lvl w:ilvl="4">
      <w:start w:val="1"/>
      <w:numFmt w:val="bullet"/>
      <w:lvlText w:val="◦"/>
      <w:lvlJc w:val="start"/>
      <w:pPr>
        <w:tabs>
          <w:tab w:val="num" w:pos="0"/>
        </w:tabs>
        <w:ind w:start="2160" w:hanging="360"/>
      </w:pPr>
      <w:rPr>
        <w:rFonts w:ascii="OpenSymbol" w:hAnsi="OpenSymbol" w:cs="OpenSymbol" w:hint="default"/>
      </w:rPr>
    </w:lvl>
    <w:lvl w:ilvl="5">
      <w:start w:val="1"/>
      <w:numFmt w:val="bullet"/>
      <w:lvlText w:val="▪"/>
      <w:lvlJc w:val="start"/>
      <w:pPr>
        <w:tabs>
          <w:tab w:val="num" w:pos="0"/>
        </w:tabs>
        <w:ind w:start="2520" w:hanging="360"/>
      </w:pPr>
      <w:rPr>
        <w:rFonts w:ascii="OpenSymbol" w:hAnsi="OpenSymbol" w:cs="OpenSymbol" w:hint="default"/>
      </w:rPr>
    </w:lvl>
    <w:lvl w:ilvl="6">
      <w:start w:val="1"/>
      <w:numFmt w:val="bullet"/>
      <w:lvlText w:val=""/>
      <w:lvlJc w:val="start"/>
      <w:pPr>
        <w:tabs>
          <w:tab w:val="num" w:pos="0"/>
        </w:tabs>
        <w:ind w:start="2880" w:hanging="360"/>
      </w:pPr>
      <w:rPr>
        <w:rFonts w:ascii="Symbol" w:hAnsi="Symbol" w:cs="Symbol" w:hint="default"/>
      </w:rPr>
    </w:lvl>
    <w:lvl w:ilvl="7">
      <w:start w:val="1"/>
      <w:numFmt w:val="bullet"/>
      <w:lvlText w:val="◦"/>
      <w:lvlJc w:val="start"/>
      <w:pPr>
        <w:tabs>
          <w:tab w:val="num" w:pos="0"/>
        </w:tabs>
        <w:ind w:start="3240" w:hanging="360"/>
      </w:pPr>
      <w:rPr>
        <w:rFonts w:ascii="OpenSymbol" w:hAnsi="OpenSymbol" w:cs="OpenSymbol" w:hint="default"/>
      </w:rPr>
    </w:lvl>
    <w:lvl w:ilvl="8">
      <w:start w:val="1"/>
      <w:numFmt w:val="bullet"/>
      <w:lvlText w:val="▪"/>
      <w:lvlJc w:val="start"/>
      <w:pPr>
        <w:tabs>
          <w:tab w:val="num" w:pos="0"/>
        </w:tabs>
        <w:ind w:start="3600" w:hanging="360"/>
      </w:pPr>
      <w:rPr>
        <w:rFonts w:ascii="OpenSymbol" w:hAnsi="OpenSymbol" w:cs="OpenSymbol" w:hint="default"/>
      </w:rPr>
    </w:lvl>
  </w:abstractNum>
  <w:abstractNum w:abstractNumId="5">
    <w:lvl w:ilvl="0">
      <w:start w:val="1"/>
      <w:numFmt w:val="bullet"/>
      <w:lvlText w:val=""/>
      <w:lvlJc w:val="start"/>
      <w:pPr>
        <w:tabs>
          <w:tab w:val="num" w:pos="0"/>
        </w:tabs>
        <w:ind w:start="720" w:hanging="360"/>
      </w:pPr>
      <w:rPr>
        <w:rFonts w:ascii="Symbol" w:hAnsi="Symbol" w:cs="Symbol" w:hint="default"/>
      </w:rPr>
    </w:lvl>
    <w:lvl w:ilvl="1">
      <w:start w:val="1"/>
      <w:numFmt w:val="bullet"/>
      <w:lvlText w:val="◦"/>
      <w:lvlJc w:val="start"/>
      <w:pPr>
        <w:tabs>
          <w:tab w:val="num" w:pos="0"/>
        </w:tabs>
        <w:ind w:start="1080" w:hanging="360"/>
      </w:pPr>
      <w:rPr>
        <w:rFonts w:ascii="OpenSymbol" w:hAnsi="OpenSymbol" w:cs="OpenSymbol" w:hint="default"/>
      </w:rPr>
    </w:lvl>
    <w:lvl w:ilvl="2">
      <w:start w:val="1"/>
      <w:numFmt w:val="bullet"/>
      <w:lvlText w:val="▪"/>
      <w:lvlJc w:val="start"/>
      <w:pPr>
        <w:tabs>
          <w:tab w:val="num" w:pos="0"/>
        </w:tabs>
        <w:ind w:start="1440" w:hanging="360"/>
      </w:pPr>
      <w:rPr>
        <w:rFonts w:ascii="OpenSymbol" w:hAnsi="OpenSymbol" w:cs="OpenSymbol" w:hint="default"/>
      </w:rPr>
    </w:lvl>
    <w:lvl w:ilvl="3">
      <w:start w:val="1"/>
      <w:numFmt w:val="bullet"/>
      <w:lvlText w:val=""/>
      <w:lvlJc w:val="start"/>
      <w:pPr>
        <w:tabs>
          <w:tab w:val="num" w:pos="0"/>
        </w:tabs>
        <w:ind w:start="1800" w:hanging="360"/>
      </w:pPr>
      <w:rPr>
        <w:rFonts w:ascii="Symbol" w:hAnsi="Symbol" w:cs="Symbol" w:hint="default"/>
      </w:rPr>
    </w:lvl>
    <w:lvl w:ilvl="4">
      <w:start w:val="1"/>
      <w:numFmt w:val="bullet"/>
      <w:lvlText w:val="◦"/>
      <w:lvlJc w:val="start"/>
      <w:pPr>
        <w:tabs>
          <w:tab w:val="num" w:pos="0"/>
        </w:tabs>
        <w:ind w:start="2160" w:hanging="360"/>
      </w:pPr>
      <w:rPr>
        <w:rFonts w:ascii="OpenSymbol" w:hAnsi="OpenSymbol" w:cs="OpenSymbol" w:hint="default"/>
      </w:rPr>
    </w:lvl>
    <w:lvl w:ilvl="5">
      <w:start w:val="1"/>
      <w:numFmt w:val="bullet"/>
      <w:lvlText w:val="▪"/>
      <w:lvlJc w:val="start"/>
      <w:pPr>
        <w:tabs>
          <w:tab w:val="num" w:pos="0"/>
        </w:tabs>
        <w:ind w:start="2520" w:hanging="360"/>
      </w:pPr>
      <w:rPr>
        <w:rFonts w:ascii="OpenSymbol" w:hAnsi="OpenSymbol" w:cs="OpenSymbol" w:hint="default"/>
      </w:rPr>
    </w:lvl>
    <w:lvl w:ilvl="6">
      <w:start w:val="1"/>
      <w:numFmt w:val="bullet"/>
      <w:lvlText w:val=""/>
      <w:lvlJc w:val="start"/>
      <w:pPr>
        <w:tabs>
          <w:tab w:val="num" w:pos="0"/>
        </w:tabs>
        <w:ind w:start="2880" w:hanging="360"/>
      </w:pPr>
      <w:rPr>
        <w:rFonts w:ascii="Symbol" w:hAnsi="Symbol" w:cs="Symbol" w:hint="default"/>
      </w:rPr>
    </w:lvl>
    <w:lvl w:ilvl="7">
      <w:start w:val="1"/>
      <w:numFmt w:val="bullet"/>
      <w:lvlText w:val="◦"/>
      <w:lvlJc w:val="start"/>
      <w:pPr>
        <w:tabs>
          <w:tab w:val="num" w:pos="0"/>
        </w:tabs>
        <w:ind w:start="3240" w:hanging="360"/>
      </w:pPr>
      <w:rPr>
        <w:rFonts w:ascii="OpenSymbol" w:hAnsi="OpenSymbol" w:cs="OpenSymbol" w:hint="default"/>
      </w:rPr>
    </w:lvl>
    <w:lvl w:ilvl="8">
      <w:start w:val="1"/>
      <w:numFmt w:val="bullet"/>
      <w:lvlText w:val="▪"/>
      <w:lvlJc w:val="start"/>
      <w:pPr>
        <w:tabs>
          <w:tab w:val="num" w:pos="0"/>
        </w:tabs>
        <w:ind w:start="3600" w:hanging="360"/>
      </w:pPr>
      <w:rPr>
        <w:rFonts w:ascii="OpenSymbol" w:hAnsi="OpenSymbol" w:cs="OpenSymbol" w:hint="default"/>
      </w:rPr>
    </w:lvl>
  </w:abstractNum>
  <w:abstractNum w:abstractNumId="6">
    <w:lvl w:ilvl="0">
      <w:start w:val="1"/>
      <w:numFmt w:val="bullet"/>
      <w:lvlText w:val=""/>
      <w:lvlJc w:val="start"/>
      <w:pPr>
        <w:tabs>
          <w:tab w:val="num" w:pos="0"/>
        </w:tabs>
        <w:ind w:start="720" w:hanging="360"/>
      </w:pPr>
      <w:rPr>
        <w:rFonts w:ascii="Symbol" w:hAnsi="Symbol" w:cs="Symbol" w:hint="default"/>
      </w:rPr>
    </w:lvl>
    <w:lvl w:ilvl="1">
      <w:start w:val="1"/>
      <w:numFmt w:val="bullet"/>
      <w:lvlText w:val="◦"/>
      <w:lvlJc w:val="start"/>
      <w:pPr>
        <w:tabs>
          <w:tab w:val="num" w:pos="0"/>
        </w:tabs>
        <w:ind w:start="1080" w:hanging="360"/>
      </w:pPr>
      <w:rPr>
        <w:rFonts w:ascii="OpenSymbol" w:hAnsi="OpenSymbol" w:cs="OpenSymbol" w:hint="default"/>
      </w:rPr>
    </w:lvl>
    <w:lvl w:ilvl="2">
      <w:start w:val="1"/>
      <w:numFmt w:val="bullet"/>
      <w:lvlText w:val="▪"/>
      <w:lvlJc w:val="start"/>
      <w:pPr>
        <w:tabs>
          <w:tab w:val="num" w:pos="0"/>
        </w:tabs>
        <w:ind w:start="1440" w:hanging="360"/>
      </w:pPr>
      <w:rPr>
        <w:rFonts w:ascii="OpenSymbol" w:hAnsi="OpenSymbol" w:cs="OpenSymbol" w:hint="default"/>
      </w:rPr>
    </w:lvl>
    <w:lvl w:ilvl="3">
      <w:start w:val="1"/>
      <w:numFmt w:val="bullet"/>
      <w:lvlText w:val=""/>
      <w:lvlJc w:val="start"/>
      <w:pPr>
        <w:tabs>
          <w:tab w:val="num" w:pos="0"/>
        </w:tabs>
        <w:ind w:start="1800" w:hanging="360"/>
      </w:pPr>
      <w:rPr>
        <w:rFonts w:ascii="Symbol" w:hAnsi="Symbol" w:cs="Symbol" w:hint="default"/>
      </w:rPr>
    </w:lvl>
    <w:lvl w:ilvl="4">
      <w:start w:val="1"/>
      <w:numFmt w:val="bullet"/>
      <w:lvlText w:val="◦"/>
      <w:lvlJc w:val="start"/>
      <w:pPr>
        <w:tabs>
          <w:tab w:val="num" w:pos="0"/>
        </w:tabs>
        <w:ind w:start="2160" w:hanging="360"/>
      </w:pPr>
      <w:rPr>
        <w:rFonts w:ascii="OpenSymbol" w:hAnsi="OpenSymbol" w:cs="OpenSymbol" w:hint="default"/>
      </w:rPr>
    </w:lvl>
    <w:lvl w:ilvl="5">
      <w:start w:val="1"/>
      <w:numFmt w:val="bullet"/>
      <w:lvlText w:val="▪"/>
      <w:lvlJc w:val="start"/>
      <w:pPr>
        <w:tabs>
          <w:tab w:val="num" w:pos="0"/>
        </w:tabs>
        <w:ind w:start="2520" w:hanging="360"/>
      </w:pPr>
      <w:rPr>
        <w:rFonts w:ascii="OpenSymbol" w:hAnsi="OpenSymbol" w:cs="OpenSymbol" w:hint="default"/>
      </w:rPr>
    </w:lvl>
    <w:lvl w:ilvl="6">
      <w:start w:val="1"/>
      <w:numFmt w:val="bullet"/>
      <w:lvlText w:val=""/>
      <w:lvlJc w:val="start"/>
      <w:pPr>
        <w:tabs>
          <w:tab w:val="num" w:pos="0"/>
        </w:tabs>
        <w:ind w:start="2880" w:hanging="360"/>
      </w:pPr>
      <w:rPr>
        <w:rFonts w:ascii="Symbol" w:hAnsi="Symbol" w:cs="Symbol" w:hint="default"/>
      </w:rPr>
    </w:lvl>
    <w:lvl w:ilvl="7">
      <w:start w:val="1"/>
      <w:numFmt w:val="bullet"/>
      <w:lvlText w:val="◦"/>
      <w:lvlJc w:val="start"/>
      <w:pPr>
        <w:tabs>
          <w:tab w:val="num" w:pos="0"/>
        </w:tabs>
        <w:ind w:start="3240" w:hanging="360"/>
      </w:pPr>
      <w:rPr>
        <w:rFonts w:ascii="OpenSymbol" w:hAnsi="OpenSymbol" w:cs="OpenSymbol" w:hint="default"/>
      </w:rPr>
    </w:lvl>
    <w:lvl w:ilvl="8">
      <w:start w:val="1"/>
      <w:numFmt w:val="bullet"/>
      <w:lvlText w:val="▪"/>
      <w:lvlJc w:val="start"/>
      <w:pPr>
        <w:tabs>
          <w:tab w:val="num" w:pos="0"/>
        </w:tabs>
        <w:ind w:start="3600" w:hanging="360"/>
      </w:pPr>
      <w:rPr>
        <w:rFonts w:ascii="OpenSymbol" w:hAnsi="OpenSymbol" w:cs="OpenSymbol" w:hint="default"/>
      </w:rPr>
    </w:lvl>
  </w:abstractNum>
  <w:abstractNum w:abstractNumId="7">
    <w:lvl w:ilvl="0">
      <w:start w:val="1"/>
      <w:numFmt w:val="bullet"/>
      <w:lvlText w:val=""/>
      <w:lvlJc w:val="start"/>
      <w:pPr>
        <w:tabs>
          <w:tab w:val="num" w:pos="0"/>
        </w:tabs>
        <w:ind w:start="1117" w:hanging="360"/>
      </w:pPr>
      <w:rPr>
        <w:rFonts w:ascii="Symbol" w:hAnsi="Symbol" w:cs="Symbol" w:hint="default"/>
        <w:color w:val="000000"/>
        <w:sz w:val="24"/>
        <w:szCs w:val="24"/>
        <w:shd w:fill="auto" w:val="clear"/>
        <w:lang w:val="pl-PL"/>
      </w:rPr>
    </w:lvl>
    <w:lvl w:ilvl="1">
      <w:start w:val="1"/>
      <w:numFmt w:val="bullet"/>
      <w:lvlText w:val="◦"/>
      <w:lvlJc w:val="start"/>
      <w:pPr>
        <w:tabs>
          <w:tab w:val="num" w:pos="0"/>
        </w:tabs>
        <w:ind w:start="1477" w:hanging="360"/>
      </w:pPr>
      <w:rPr>
        <w:rFonts w:ascii="OpenSymbol" w:hAnsi="OpenSymbol" w:cs="OpenSymbol" w:hint="default"/>
      </w:rPr>
    </w:lvl>
    <w:lvl w:ilvl="2">
      <w:start w:val="1"/>
      <w:numFmt w:val="bullet"/>
      <w:lvlText w:val="▪"/>
      <w:lvlJc w:val="start"/>
      <w:pPr>
        <w:tabs>
          <w:tab w:val="num" w:pos="0"/>
        </w:tabs>
        <w:ind w:start="1837" w:hanging="360"/>
      </w:pPr>
      <w:rPr>
        <w:rFonts w:ascii="OpenSymbol" w:hAnsi="OpenSymbol" w:cs="OpenSymbol" w:hint="default"/>
      </w:rPr>
    </w:lvl>
    <w:lvl w:ilvl="3">
      <w:start w:val="1"/>
      <w:numFmt w:val="bullet"/>
      <w:lvlText w:val=""/>
      <w:lvlJc w:val="start"/>
      <w:pPr>
        <w:tabs>
          <w:tab w:val="num" w:pos="0"/>
        </w:tabs>
        <w:ind w:start="2197" w:hanging="360"/>
      </w:pPr>
      <w:rPr>
        <w:rFonts w:ascii="Symbol" w:hAnsi="Symbol" w:cs="Symbol" w:hint="default"/>
        <w:color w:val="000000"/>
        <w:sz w:val="24"/>
        <w:szCs w:val="24"/>
        <w:shd w:fill="auto" w:val="clear"/>
        <w:lang w:val="pl-PL"/>
      </w:rPr>
    </w:lvl>
    <w:lvl w:ilvl="4">
      <w:start w:val="1"/>
      <w:numFmt w:val="bullet"/>
      <w:lvlText w:val="◦"/>
      <w:lvlJc w:val="start"/>
      <w:pPr>
        <w:tabs>
          <w:tab w:val="num" w:pos="0"/>
        </w:tabs>
        <w:ind w:start="2557" w:hanging="360"/>
      </w:pPr>
      <w:rPr>
        <w:rFonts w:ascii="OpenSymbol" w:hAnsi="OpenSymbol" w:cs="OpenSymbol" w:hint="default"/>
      </w:rPr>
    </w:lvl>
    <w:lvl w:ilvl="5">
      <w:start w:val="1"/>
      <w:numFmt w:val="bullet"/>
      <w:lvlText w:val="▪"/>
      <w:lvlJc w:val="start"/>
      <w:pPr>
        <w:tabs>
          <w:tab w:val="num" w:pos="0"/>
        </w:tabs>
        <w:ind w:start="2917" w:hanging="360"/>
      </w:pPr>
      <w:rPr>
        <w:rFonts w:ascii="OpenSymbol" w:hAnsi="OpenSymbol" w:cs="OpenSymbol" w:hint="default"/>
      </w:rPr>
    </w:lvl>
    <w:lvl w:ilvl="6">
      <w:start w:val="1"/>
      <w:numFmt w:val="bullet"/>
      <w:lvlText w:val=""/>
      <w:lvlJc w:val="start"/>
      <w:pPr>
        <w:tabs>
          <w:tab w:val="num" w:pos="0"/>
        </w:tabs>
        <w:ind w:start="3277" w:hanging="360"/>
      </w:pPr>
      <w:rPr>
        <w:rFonts w:ascii="Symbol" w:hAnsi="Symbol" w:cs="Symbol" w:hint="default"/>
        <w:color w:val="000000"/>
        <w:sz w:val="24"/>
        <w:szCs w:val="24"/>
        <w:shd w:fill="auto" w:val="clear"/>
        <w:lang w:val="pl-PL"/>
      </w:rPr>
    </w:lvl>
    <w:lvl w:ilvl="7">
      <w:start w:val="1"/>
      <w:numFmt w:val="bullet"/>
      <w:lvlText w:val="◦"/>
      <w:lvlJc w:val="start"/>
      <w:pPr>
        <w:tabs>
          <w:tab w:val="num" w:pos="0"/>
        </w:tabs>
        <w:ind w:start="3637" w:hanging="360"/>
      </w:pPr>
      <w:rPr>
        <w:rFonts w:ascii="OpenSymbol" w:hAnsi="OpenSymbol" w:cs="OpenSymbol" w:hint="default"/>
      </w:rPr>
    </w:lvl>
    <w:lvl w:ilvl="8">
      <w:start w:val="1"/>
      <w:numFmt w:val="bullet"/>
      <w:lvlText w:val="▪"/>
      <w:lvlJc w:val="start"/>
      <w:pPr>
        <w:tabs>
          <w:tab w:val="num" w:pos="0"/>
        </w:tabs>
        <w:ind w:start="3997" w:hanging="360"/>
      </w:pPr>
      <w:rPr>
        <w:rFonts w:ascii="OpenSymbol" w:hAnsi="OpenSymbol" w:cs="OpenSymbol" w:hint="default"/>
      </w:rPr>
    </w:lvl>
  </w:abstractNum>
  <w:abstractNum w:abstractNumId="8">
    <w:lvl w:ilvl="0">
      <w:start w:val="1"/>
      <w:numFmt w:val="bullet"/>
      <w:lvlText w:val=""/>
      <w:lvlJc w:val="start"/>
      <w:pPr>
        <w:tabs>
          <w:tab w:val="num" w:pos="0"/>
        </w:tabs>
        <w:ind w:start="720" w:hanging="360"/>
      </w:pPr>
      <w:rPr>
        <w:rFonts w:ascii="Symbol" w:hAnsi="Symbol" w:cs="Symbol" w:hint="default"/>
      </w:rPr>
    </w:lvl>
    <w:lvl w:ilvl="1">
      <w:start w:val="1"/>
      <w:numFmt w:val="decimal"/>
      <w:lvlText w:val="%2."/>
      <w:lvlJc w:val="start"/>
      <w:pPr>
        <w:tabs>
          <w:tab w:val="num" w:pos="0"/>
        </w:tabs>
        <w:ind w:start="1080" w:hanging="360"/>
      </w:pPr>
    </w:lvl>
    <w:lvl w:ilvl="2">
      <w:start w:val="1"/>
      <w:numFmt w:val="decimal"/>
      <w:lvlText w:val="%3."/>
      <w:lvlJc w:val="start"/>
      <w:pPr>
        <w:tabs>
          <w:tab w:val="num" w:pos="0"/>
        </w:tabs>
        <w:ind w:start="1440" w:hanging="360"/>
      </w:pPr>
    </w:lvl>
    <w:lvl w:ilvl="3">
      <w:start w:val="1"/>
      <w:numFmt w:val="decimal"/>
      <w:lvlText w:val="%4."/>
      <w:lvlJc w:val="start"/>
      <w:pPr>
        <w:tabs>
          <w:tab w:val="num" w:pos="0"/>
        </w:tabs>
        <w:ind w:start="1800" w:hanging="360"/>
      </w:pPr>
    </w:lvl>
    <w:lvl w:ilvl="4">
      <w:start w:val="1"/>
      <w:numFmt w:val="decimal"/>
      <w:lvlText w:val="%5."/>
      <w:lvlJc w:val="start"/>
      <w:pPr>
        <w:tabs>
          <w:tab w:val="num" w:pos="0"/>
        </w:tabs>
        <w:ind w:start="2160" w:hanging="360"/>
      </w:pPr>
    </w:lvl>
    <w:lvl w:ilvl="5">
      <w:start w:val="1"/>
      <w:numFmt w:val="decimal"/>
      <w:lvlText w:val="%6."/>
      <w:lvlJc w:val="start"/>
      <w:pPr>
        <w:tabs>
          <w:tab w:val="num" w:pos="0"/>
        </w:tabs>
        <w:ind w:start="2520" w:hanging="360"/>
      </w:pPr>
    </w:lvl>
    <w:lvl w:ilvl="6">
      <w:start w:val="1"/>
      <w:numFmt w:val="decimal"/>
      <w:lvlText w:val="%7."/>
      <w:lvlJc w:val="start"/>
      <w:pPr>
        <w:tabs>
          <w:tab w:val="num" w:pos="0"/>
        </w:tabs>
        <w:ind w:start="2880" w:hanging="360"/>
      </w:pPr>
    </w:lvl>
    <w:lvl w:ilvl="7">
      <w:start w:val="1"/>
      <w:numFmt w:val="decimal"/>
      <w:lvlText w:val="%8."/>
      <w:lvlJc w:val="start"/>
      <w:pPr>
        <w:tabs>
          <w:tab w:val="num" w:pos="0"/>
        </w:tabs>
        <w:ind w:start="3240" w:hanging="360"/>
      </w:pPr>
    </w:lvl>
    <w:lvl w:ilvl="8">
      <w:start w:val="1"/>
      <w:numFmt w:val="decimal"/>
      <w:lvlText w:val="%9."/>
      <w:lvlJc w:val="start"/>
      <w:pPr>
        <w:tabs>
          <w:tab w:val="num" w:pos="0"/>
        </w:tabs>
        <w:ind w:start="3600" w:hanging="360"/>
      </w:pPr>
    </w:lvl>
  </w:abstractNum>
  <w:abstractNum w:abstractNumId="9">
    <w:lvl w:ilvl="0">
      <w:start w:val="1"/>
      <w:numFmt w:val="bullet"/>
      <w:lvlText w:val=""/>
      <w:lvlJc w:val="start"/>
      <w:pPr>
        <w:tabs>
          <w:tab w:val="num" w:pos="0"/>
        </w:tabs>
        <w:ind w:start="720" w:hanging="360"/>
      </w:pPr>
      <w:rPr>
        <w:rFonts w:ascii="Symbol" w:hAnsi="Symbol" w:cs="Symbol" w:hint="default"/>
      </w:rPr>
    </w:lvl>
    <w:lvl w:ilvl="1">
      <w:start w:val="1"/>
      <w:numFmt w:val="decimal"/>
      <w:lvlText w:val="%2."/>
      <w:lvlJc w:val="start"/>
      <w:pPr>
        <w:tabs>
          <w:tab w:val="num" w:pos="0"/>
        </w:tabs>
        <w:ind w:start="1080" w:hanging="360"/>
      </w:pPr>
    </w:lvl>
    <w:lvl w:ilvl="2">
      <w:start w:val="1"/>
      <w:numFmt w:val="decimal"/>
      <w:lvlText w:val="%3."/>
      <w:lvlJc w:val="start"/>
      <w:pPr>
        <w:tabs>
          <w:tab w:val="num" w:pos="0"/>
        </w:tabs>
        <w:ind w:start="1440" w:hanging="360"/>
      </w:pPr>
    </w:lvl>
    <w:lvl w:ilvl="3">
      <w:start w:val="1"/>
      <w:numFmt w:val="decimal"/>
      <w:lvlText w:val="%4."/>
      <w:lvlJc w:val="start"/>
      <w:pPr>
        <w:tabs>
          <w:tab w:val="num" w:pos="0"/>
        </w:tabs>
        <w:ind w:start="1800" w:hanging="360"/>
      </w:pPr>
    </w:lvl>
    <w:lvl w:ilvl="4">
      <w:start w:val="1"/>
      <w:numFmt w:val="decimal"/>
      <w:lvlText w:val="%5."/>
      <w:lvlJc w:val="start"/>
      <w:pPr>
        <w:tabs>
          <w:tab w:val="num" w:pos="0"/>
        </w:tabs>
        <w:ind w:start="2160" w:hanging="360"/>
      </w:pPr>
    </w:lvl>
    <w:lvl w:ilvl="5">
      <w:start w:val="1"/>
      <w:numFmt w:val="decimal"/>
      <w:lvlText w:val="%6."/>
      <w:lvlJc w:val="start"/>
      <w:pPr>
        <w:tabs>
          <w:tab w:val="num" w:pos="0"/>
        </w:tabs>
        <w:ind w:start="2520" w:hanging="360"/>
      </w:pPr>
    </w:lvl>
    <w:lvl w:ilvl="6">
      <w:start w:val="1"/>
      <w:numFmt w:val="decimal"/>
      <w:lvlText w:val="%7."/>
      <w:lvlJc w:val="start"/>
      <w:pPr>
        <w:tabs>
          <w:tab w:val="num" w:pos="0"/>
        </w:tabs>
        <w:ind w:start="2880" w:hanging="360"/>
      </w:pPr>
    </w:lvl>
    <w:lvl w:ilvl="7">
      <w:start w:val="1"/>
      <w:numFmt w:val="decimal"/>
      <w:lvlText w:val="%8."/>
      <w:lvlJc w:val="start"/>
      <w:pPr>
        <w:tabs>
          <w:tab w:val="num" w:pos="0"/>
        </w:tabs>
        <w:ind w:start="3240" w:hanging="360"/>
      </w:pPr>
    </w:lvl>
    <w:lvl w:ilvl="8">
      <w:start w:val="1"/>
      <w:numFmt w:val="decimal"/>
      <w:lvlText w:val="%9."/>
      <w:lvlJc w:val="start"/>
      <w:pPr>
        <w:tabs>
          <w:tab w:val="num" w:pos="0"/>
        </w:tabs>
        <w:ind w:start="3600" w:hanging="360"/>
      </w:pPr>
    </w:lvl>
  </w:abstractNum>
  <w:abstractNum w:abstractNumId="10">
    <w:lvl w:ilvl="0">
      <w:start w:val="1"/>
      <w:numFmt w:val="bullet"/>
      <w:lvlText w:val=""/>
      <w:lvlJc w:val="start"/>
      <w:pPr>
        <w:tabs>
          <w:tab w:val="num" w:pos="0"/>
        </w:tabs>
        <w:ind w:start="720" w:hanging="360"/>
      </w:pPr>
      <w:rPr>
        <w:rFonts w:ascii="Symbol" w:hAnsi="Symbol" w:cs="Symbol" w:hint="default"/>
      </w:rPr>
    </w:lvl>
    <w:lvl w:ilvl="1">
      <w:start w:val="1"/>
      <w:numFmt w:val="bullet"/>
      <w:lvlText w:val="◦"/>
      <w:lvlJc w:val="start"/>
      <w:pPr>
        <w:tabs>
          <w:tab w:val="num" w:pos="0"/>
        </w:tabs>
        <w:ind w:start="1080" w:hanging="360"/>
      </w:pPr>
      <w:rPr>
        <w:rFonts w:ascii="OpenSymbol" w:hAnsi="OpenSymbol" w:cs="OpenSymbol" w:hint="default"/>
      </w:rPr>
    </w:lvl>
    <w:lvl w:ilvl="2">
      <w:start w:val="1"/>
      <w:numFmt w:val="bullet"/>
      <w:lvlText w:val="▪"/>
      <w:lvlJc w:val="start"/>
      <w:pPr>
        <w:tabs>
          <w:tab w:val="num" w:pos="0"/>
        </w:tabs>
        <w:ind w:start="1440" w:hanging="360"/>
      </w:pPr>
      <w:rPr>
        <w:rFonts w:ascii="OpenSymbol" w:hAnsi="OpenSymbol" w:cs="OpenSymbol" w:hint="default"/>
      </w:rPr>
    </w:lvl>
    <w:lvl w:ilvl="3">
      <w:start w:val="1"/>
      <w:numFmt w:val="bullet"/>
      <w:lvlText w:val=""/>
      <w:lvlJc w:val="start"/>
      <w:pPr>
        <w:tabs>
          <w:tab w:val="num" w:pos="0"/>
        </w:tabs>
        <w:ind w:start="1800" w:hanging="360"/>
      </w:pPr>
      <w:rPr>
        <w:rFonts w:ascii="Symbol" w:hAnsi="Symbol" w:cs="Symbol" w:hint="default"/>
      </w:rPr>
    </w:lvl>
    <w:lvl w:ilvl="4">
      <w:start w:val="1"/>
      <w:numFmt w:val="bullet"/>
      <w:lvlText w:val="◦"/>
      <w:lvlJc w:val="start"/>
      <w:pPr>
        <w:tabs>
          <w:tab w:val="num" w:pos="0"/>
        </w:tabs>
        <w:ind w:start="2160" w:hanging="360"/>
      </w:pPr>
      <w:rPr>
        <w:rFonts w:ascii="OpenSymbol" w:hAnsi="OpenSymbol" w:cs="OpenSymbol" w:hint="default"/>
      </w:rPr>
    </w:lvl>
    <w:lvl w:ilvl="5">
      <w:start w:val="1"/>
      <w:numFmt w:val="bullet"/>
      <w:lvlText w:val="▪"/>
      <w:lvlJc w:val="start"/>
      <w:pPr>
        <w:tabs>
          <w:tab w:val="num" w:pos="0"/>
        </w:tabs>
        <w:ind w:start="2520" w:hanging="360"/>
      </w:pPr>
      <w:rPr>
        <w:rFonts w:ascii="OpenSymbol" w:hAnsi="OpenSymbol" w:cs="OpenSymbol" w:hint="default"/>
      </w:rPr>
    </w:lvl>
    <w:lvl w:ilvl="6">
      <w:start w:val="1"/>
      <w:numFmt w:val="bullet"/>
      <w:lvlText w:val=""/>
      <w:lvlJc w:val="start"/>
      <w:pPr>
        <w:tabs>
          <w:tab w:val="num" w:pos="0"/>
        </w:tabs>
        <w:ind w:start="2880" w:hanging="360"/>
      </w:pPr>
      <w:rPr>
        <w:rFonts w:ascii="Symbol" w:hAnsi="Symbol" w:cs="Symbol" w:hint="default"/>
      </w:rPr>
    </w:lvl>
    <w:lvl w:ilvl="7">
      <w:start w:val="1"/>
      <w:numFmt w:val="bullet"/>
      <w:lvlText w:val="◦"/>
      <w:lvlJc w:val="start"/>
      <w:pPr>
        <w:tabs>
          <w:tab w:val="num" w:pos="0"/>
        </w:tabs>
        <w:ind w:start="3240" w:hanging="360"/>
      </w:pPr>
      <w:rPr>
        <w:rFonts w:ascii="OpenSymbol" w:hAnsi="OpenSymbol" w:cs="OpenSymbol" w:hint="default"/>
      </w:rPr>
    </w:lvl>
    <w:lvl w:ilvl="8">
      <w:start w:val="1"/>
      <w:numFmt w:val="bullet"/>
      <w:lvlText w:val="▪"/>
      <w:lvlJc w:val="start"/>
      <w:pPr>
        <w:tabs>
          <w:tab w:val="num" w:pos="0"/>
        </w:tabs>
        <w:ind w:start="3600" w:hanging="360"/>
      </w:pPr>
      <w:rPr>
        <w:rFonts w:ascii="OpenSymbol" w:hAnsi="OpenSymbol" w:cs="OpenSymbol" w:hint="default"/>
      </w:rPr>
    </w:lvl>
  </w:abstractNum>
  <w:abstractNum w:abstractNumId="11">
    <w:lvl w:ilvl="0">
      <w:start w:val="1"/>
      <w:numFmt w:val="decimal"/>
      <w:lvlText w:val="%1)"/>
      <w:lvlJc w:val="start"/>
      <w:pPr>
        <w:tabs>
          <w:tab w:val="num" w:pos="0"/>
        </w:tabs>
        <w:ind w:start="720" w:hanging="360"/>
      </w:pPr>
      <w:rPr>
        <w:b/>
        <w:bCs/>
      </w:rPr>
    </w:lvl>
    <w:lvl w:ilvl="1">
      <w:start w:val="1"/>
      <w:numFmt w:val="lowerLetter"/>
      <w:lvlText w:val="%2."/>
      <w:lvlJc w:val="start"/>
      <w:pPr>
        <w:tabs>
          <w:tab w:val="num" w:pos="0"/>
        </w:tabs>
        <w:ind w:start="1440" w:hanging="360"/>
      </w:pPr>
    </w:lvl>
    <w:lvl w:ilvl="2">
      <w:start w:val="1"/>
      <w:numFmt w:val="lowerRoman"/>
      <w:lvlText w:val="%3."/>
      <w:lvlJc w:val="end"/>
      <w:pPr>
        <w:tabs>
          <w:tab w:val="num" w:pos="0"/>
        </w:tabs>
        <w:ind w:start="2160" w:hanging="180"/>
      </w:pPr>
    </w:lvl>
    <w:lvl w:ilvl="3">
      <w:start w:val="1"/>
      <w:numFmt w:val="decimal"/>
      <w:lvlText w:val="%4."/>
      <w:lvlJc w:val="start"/>
      <w:pPr>
        <w:tabs>
          <w:tab w:val="num" w:pos="0"/>
        </w:tabs>
        <w:ind w:start="2880" w:hanging="360"/>
      </w:pPr>
    </w:lvl>
    <w:lvl w:ilvl="4">
      <w:start w:val="1"/>
      <w:numFmt w:val="lowerLetter"/>
      <w:lvlText w:val="%5."/>
      <w:lvlJc w:val="start"/>
      <w:pPr>
        <w:tabs>
          <w:tab w:val="num" w:pos="0"/>
        </w:tabs>
        <w:ind w:start="3600" w:hanging="360"/>
      </w:pPr>
    </w:lvl>
    <w:lvl w:ilvl="5">
      <w:start w:val="1"/>
      <w:numFmt w:val="lowerRoman"/>
      <w:lvlText w:val="%6."/>
      <w:lvlJc w:val="end"/>
      <w:pPr>
        <w:tabs>
          <w:tab w:val="num" w:pos="0"/>
        </w:tabs>
        <w:ind w:start="4320" w:hanging="180"/>
      </w:pPr>
    </w:lvl>
    <w:lvl w:ilvl="6">
      <w:start w:val="1"/>
      <w:numFmt w:val="decimal"/>
      <w:lvlText w:val="%7."/>
      <w:lvlJc w:val="start"/>
      <w:pPr>
        <w:tabs>
          <w:tab w:val="num" w:pos="0"/>
        </w:tabs>
        <w:ind w:start="5040" w:hanging="360"/>
      </w:pPr>
    </w:lvl>
    <w:lvl w:ilvl="7">
      <w:start w:val="1"/>
      <w:numFmt w:val="lowerLetter"/>
      <w:lvlText w:val="%8."/>
      <w:lvlJc w:val="start"/>
      <w:pPr>
        <w:tabs>
          <w:tab w:val="num" w:pos="0"/>
        </w:tabs>
        <w:ind w:start="5760" w:hanging="360"/>
      </w:pPr>
    </w:lvl>
    <w:lvl w:ilvl="8">
      <w:start w:val="1"/>
      <w:numFmt w:val="lowerRoman"/>
      <w:lvlText w:val="%9."/>
      <w:lvlJc w:val="end"/>
      <w:pPr>
        <w:tabs>
          <w:tab w:val="num" w:pos="0"/>
        </w:tabs>
        <w:ind w:start="6480" w:hanging="180"/>
      </w:pPr>
    </w:lvl>
  </w:abstractNum>
  <w:abstractNum w:abstractNumId="12">
    <w:lvl w:ilvl="0">
      <w:start w:val="1"/>
      <w:numFmt w:val="decimal"/>
      <w:lvlText w:val="%1)"/>
      <w:lvlJc w:val="start"/>
      <w:pPr>
        <w:tabs>
          <w:tab w:val="num" w:pos="0"/>
        </w:tabs>
        <w:ind w:start="720" w:hanging="360"/>
      </w:pPr>
      <w:rPr>
        <w:b/>
        <w:bCs/>
      </w:rPr>
    </w:lvl>
    <w:lvl w:ilvl="1">
      <w:start w:val="1"/>
      <w:numFmt w:val="lowerLetter"/>
      <w:lvlText w:val="%2."/>
      <w:lvlJc w:val="start"/>
      <w:pPr>
        <w:tabs>
          <w:tab w:val="num" w:pos="0"/>
        </w:tabs>
        <w:ind w:start="1440" w:hanging="360"/>
      </w:pPr>
    </w:lvl>
    <w:lvl w:ilvl="2">
      <w:start w:val="1"/>
      <w:numFmt w:val="lowerRoman"/>
      <w:lvlText w:val="%3."/>
      <w:lvlJc w:val="end"/>
      <w:pPr>
        <w:tabs>
          <w:tab w:val="num" w:pos="0"/>
        </w:tabs>
        <w:ind w:start="2160" w:hanging="180"/>
      </w:pPr>
    </w:lvl>
    <w:lvl w:ilvl="3">
      <w:start w:val="1"/>
      <w:numFmt w:val="decimal"/>
      <w:lvlText w:val="%4."/>
      <w:lvlJc w:val="start"/>
      <w:pPr>
        <w:tabs>
          <w:tab w:val="num" w:pos="0"/>
        </w:tabs>
        <w:ind w:start="2880" w:hanging="360"/>
      </w:pPr>
    </w:lvl>
    <w:lvl w:ilvl="4">
      <w:start w:val="1"/>
      <w:numFmt w:val="lowerLetter"/>
      <w:lvlText w:val="%5."/>
      <w:lvlJc w:val="start"/>
      <w:pPr>
        <w:tabs>
          <w:tab w:val="num" w:pos="0"/>
        </w:tabs>
        <w:ind w:start="3600" w:hanging="360"/>
      </w:pPr>
    </w:lvl>
    <w:lvl w:ilvl="5">
      <w:start w:val="1"/>
      <w:numFmt w:val="lowerRoman"/>
      <w:lvlText w:val="%6."/>
      <w:lvlJc w:val="end"/>
      <w:pPr>
        <w:tabs>
          <w:tab w:val="num" w:pos="0"/>
        </w:tabs>
        <w:ind w:start="4320" w:hanging="180"/>
      </w:pPr>
    </w:lvl>
    <w:lvl w:ilvl="6">
      <w:start w:val="1"/>
      <w:numFmt w:val="decimal"/>
      <w:lvlText w:val="%7."/>
      <w:lvlJc w:val="start"/>
      <w:pPr>
        <w:tabs>
          <w:tab w:val="num" w:pos="0"/>
        </w:tabs>
        <w:ind w:start="5040" w:hanging="360"/>
      </w:pPr>
    </w:lvl>
    <w:lvl w:ilvl="7">
      <w:start w:val="1"/>
      <w:numFmt w:val="lowerLetter"/>
      <w:lvlText w:val="%8."/>
      <w:lvlJc w:val="start"/>
      <w:pPr>
        <w:tabs>
          <w:tab w:val="num" w:pos="0"/>
        </w:tabs>
        <w:ind w:start="5760" w:hanging="360"/>
      </w:pPr>
    </w:lvl>
    <w:lvl w:ilvl="8">
      <w:start w:val="1"/>
      <w:numFmt w:val="lowerRoman"/>
      <w:lvlText w:val="%9."/>
      <w:lvlJc w:val="end"/>
      <w:pPr>
        <w:tabs>
          <w:tab w:val="num" w:pos="0"/>
        </w:tabs>
        <w:ind w:start="6480" w:hanging="180"/>
      </w:pPr>
    </w:lvl>
  </w:abstractNum>
  <w:abstractNum w:abstractNumId="13">
    <w:lvl w:ilvl="0">
      <w:start w:val="1"/>
      <w:numFmt w:val="bullet"/>
      <w:lvlText w:val=""/>
      <w:lvlJc w:val="start"/>
      <w:pPr>
        <w:tabs>
          <w:tab w:val="num" w:pos="0"/>
        </w:tabs>
        <w:ind w:start="360" w:hanging="360"/>
      </w:pPr>
      <w:rPr>
        <w:rFonts w:ascii="Symbol" w:hAnsi="Symbol" w:cs="Symbol" w:hint="default"/>
      </w:rPr>
    </w:lvl>
    <w:lvl w:ilvl="1">
      <w:start w:val="1"/>
      <w:numFmt w:val="decimal"/>
      <w:lvlText w:val="%2."/>
      <w:lvlJc w:val="start"/>
      <w:pPr>
        <w:tabs>
          <w:tab w:val="num" w:pos="0"/>
        </w:tabs>
        <w:ind w:start="1080" w:hanging="360"/>
      </w:pPr>
    </w:lvl>
    <w:lvl w:ilvl="2">
      <w:start w:val="1"/>
      <w:numFmt w:val="decimal"/>
      <w:lvlText w:val="%3."/>
      <w:lvlJc w:val="start"/>
      <w:pPr>
        <w:tabs>
          <w:tab w:val="num" w:pos="0"/>
        </w:tabs>
        <w:ind w:start="1440" w:hanging="360"/>
      </w:pPr>
    </w:lvl>
    <w:lvl w:ilvl="3">
      <w:start w:val="1"/>
      <w:numFmt w:val="decimal"/>
      <w:lvlText w:val="%4."/>
      <w:lvlJc w:val="start"/>
      <w:pPr>
        <w:tabs>
          <w:tab w:val="num" w:pos="0"/>
        </w:tabs>
        <w:ind w:start="1800" w:hanging="360"/>
      </w:pPr>
    </w:lvl>
    <w:lvl w:ilvl="4">
      <w:start w:val="1"/>
      <w:numFmt w:val="decimal"/>
      <w:lvlText w:val="%5."/>
      <w:lvlJc w:val="start"/>
      <w:pPr>
        <w:tabs>
          <w:tab w:val="num" w:pos="0"/>
        </w:tabs>
        <w:ind w:start="2160" w:hanging="360"/>
      </w:pPr>
    </w:lvl>
    <w:lvl w:ilvl="5">
      <w:start w:val="1"/>
      <w:numFmt w:val="decimal"/>
      <w:lvlText w:val="%6."/>
      <w:lvlJc w:val="start"/>
      <w:pPr>
        <w:tabs>
          <w:tab w:val="num" w:pos="0"/>
        </w:tabs>
        <w:ind w:start="2520" w:hanging="360"/>
      </w:pPr>
    </w:lvl>
    <w:lvl w:ilvl="6">
      <w:start w:val="1"/>
      <w:numFmt w:val="decimal"/>
      <w:lvlText w:val="%7."/>
      <w:lvlJc w:val="start"/>
      <w:pPr>
        <w:tabs>
          <w:tab w:val="num" w:pos="0"/>
        </w:tabs>
        <w:ind w:start="2880" w:hanging="360"/>
      </w:pPr>
    </w:lvl>
    <w:lvl w:ilvl="7">
      <w:start w:val="1"/>
      <w:numFmt w:val="decimal"/>
      <w:lvlText w:val="%8."/>
      <w:lvlJc w:val="start"/>
      <w:pPr>
        <w:tabs>
          <w:tab w:val="num" w:pos="0"/>
        </w:tabs>
        <w:ind w:start="3240" w:hanging="360"/>
      </w:pPr>
    </w:lvl>
    <w:lvl w:ilvl="8">
      <w:start w:val="1"/>
      <w:numFmt w:val="decimal"/>
      <w:lvlText w:val="%9."/>
      <w:lvlJc w:val="start"/>
      <w:pPr>
        <w:tabs>
          <w:tab w:val="num" w:pos="0"/>
        </w:tabs>
        <w:ind w:start="3600" w:hanging="360"/>
      </w:pPr>
    </w:lvl>
  </w:abstractNum>
  <w:abstractNum w:abstractNumId="14">
    <w:lvl w:ilvl="0">
      <w:start w:val="1"/>
      <w:numFmt w:val="bullet"/>
      <w:lvlText w:val=""/>
      <w:lvlJc w:val="start"/>
      <w:pPr>
        <w:tabs>
          <w:tab w:val="num" w:pos="0"/>
        </w:tabs>
        <w:ind w:start="360" w:hanging="360"/>
      </w:pPr>
      <w:rPr>
        <w:rFonts w:ascii="Symbol" w:hAnsi="Symbol" w:cs="Symbol" w:hint="default"/>
      </w:rPr>
    </w:lvl>
    <w:lvl w:ilvl="1">
      <w:start w:val="1"/>
      <w:numFmt w:val="decimal"/>
      <w:lvlText w:val="%2."/>
      <w:lvlJc w:val="start"/>
      <w:pPr>
        <w:tabs>
          <w:tab w:val="num" w:pos="0"/>
        </w:tabs>
        <w:ind w:start="1080" w:hanging="360"/>
      </w:pPr>
    </w:lvl>
    <w:lvl w:ilvl="2">
      <w:start w:val="1"/>
      <w:numFmt w:val="decimal"/>
      <w:lvlText w:val="%3."/>
      <w:lvlJc w:val="start"/>
      <w:pPr>
        <w:tabs>
          <w:tab w:val="num" w:pos="0"/>
        </w:tabs>
        <w:ind w:start="1440" w:hanging="360"/>
      </w:pPr>
    </w:lvl>
    <w:lvl w:ilvl="3">
      <w:start w:val="1"/>
      <w:numFmt w:val="decimal"/>
      <w:lvlText w:val="%4."/>
      <w:lvlJc w:val="start"/>
      <w:pPr>
        <w:tabs>
          <w:tab w:val="num" w:pos="0"/>
        </w:tabs>
        <w:ind w:start="1800" w:hanging="360"/>
      </w:pPr>
    </w:lvl>
    <w:lvl w:ilvl="4">
      <w:start w:val="1"/>
      <w:numFmt w:val="decimal"/>
      <w:lvlText w:val="%5."/>
      <w:lvlJc w:val="start"/>
      <w:pPr>
        <w:tabs>
          <w:tab w:val="num" w:pos="0"/>
        </w:tabs>
        <w:ind w:start="2160" w:hanging="360"/>
      </w:pPr>
    </w:lvl>
    <w:lvl w:ilvl="5">
      <w:start w:val="1"/>
      <w:numFmt w:val="decimal"/>
      <w:lvlText w:val="%6."/>
      <w:lvlJc w:val="start"/>
      <w:pPr>
        <w:tabs>
          <w:tab w:val="num" w:pos="0"/>
        </w:tabs>
        <w:ind w:start="2520" w:hanging="360"/>
      </w:pPr>
    </w:lvl>
    <w:lvl w:ilvl="6">
      <w:start w:val="1"/>
      <w:numFmt w:val="decimal"/>
      <w:lvlText w:val="%7."/>
      <w:lvlJc w:val="start"/>
      <w:pPr>
        <w:tabs>
          <w:tab w:val="num" w:pos="0"/>
        </w:tabs>
        <w:ind w:start="2880" w:hanging="360"/>
      </w:pPr>
    </w:lvl>
    <w:lvl w:ilvl="7">
      <w:start w:val="1"/>
      <w:numFmt w:val="decimal"/>
      <w:lvlText w:val="%8."/>
      <w:lvlJc w:val="start"/>
      <w:pPr>
        <w:tabs>
          <w:tab w:val="num" w:pos="0"/>
        </w:tabs>
        <w:ind w:start="3240" w:hanging="360"/>
      </w:pPr>
    </w:lvl>
    <w:lvl w:ilvl="8">
      <w:start w:val="1"/>
      <w:numFmt w:val="decimal"/>
      <w:lvlText w:val="%9."/>
      <w:lvlJc w:val="start"/>
      <w:pPr>
        <w:tabs>
          <w:tab w:val="num" w:pos="0"/>
        </w:tabs>
        <w:ind w:start="3600" w:hanging="360"/>
      </w:pPr>
    </w:lvl>
  </w:abstractNum>
  <w:abstractNum w:abstractNumId="15">
    <w:lvl w:ilvl="0">
      <w:start w:val="1"/>
      <w:numFmt w:val="bullet"/>
      <w:lvlText w:val=""/>
      <w:lvlJc w:val="start"/>
      <w:pPr>
        <w:tabs>
          <w:tab w:val="num" w:pos="0"/>
        </w:tabs>
        <w:ind w:start="720" w:hanging="360"/>
      </w:pPr>
      <w:rPr>
        <w:rFonts w:ascii="Wingdings" w:hAnsi="Wingdings" w:cs="Wingdings" w:hint="default"/>
      </w:rPr>
    </w:lvl>
    <w:lvl w:ilvl="1">
      <w:start w:val="1"/>
      <w:numFmt w:val="bullet"/>
      <w:lvlText w:val=""/>
      <w:lvlJc w:val="start"/>
      <w:pPr>
        <w:tabs>
          <w:tab w:val="num" w:pos="0"/>
        </w:tabs>
        <w:ind w:start="1080" w:hanging="360"/>
      </w:pPr>
      <w:rPr>
        <w:rFonts w:ascii="Wingdings" w:hAnsi="Wingdings" w:cs="Wingdings" w:hint="default"/>
      </w:rPr>
    </w:lvl>
    <w:lvl w:ilvl="2">
      <w:start w:val="1"/>
      <w:numFmt w:val="bullet"/>
      <w:lvlText w:val=""/>
      <w:lvlJc w:val="start"/>
      <w:pPr>
        <w:tabs>
          <w:tab w:val="num" w:pos="0"/>
        </w:tabs>
        <w:ind w:start="1440" w:hanging="360"/>
      </w:pPr>
      <w:rPr>
        <w:rFonts w:ascii="Wingdings" w:hAnsi="Wingdings" w:cs="Wingdings" w:hint="default"/>
      </w:rPr>
    </w:lvl>
    <w:lvl w:ilvl="3">
      <w:start w:val="1"/>
      <w:numFmt w:val="bullet"/>
      <w:lvlText w:val=""/>
      <w:lvlJc w:val="start"/>
      <w:pPr>
        <w:tabs>
          <w:tab w:val="num" w:pos="0"/>
        </w:tabs>
        <w:ind w:start="1800" w:hanging="360"/>
      </w:pPr>
      <w:rPr>
        <w:rFonts w:ascii="Wingdings" w:hAnsi="Wingdings" w:cs="Wingdings" w:hint="default"/>
      </w:rPr>
    </w:lvl>
    <w:lvl w:ilvl="4">
      <w:start w:val="1"/>
      <w:numFmt w:val="bullet"/>
      <w:lvlText w:val=""/>
      <w:lvlJc w:val="start"/>
      <w:pPr>
        <w:tabs>
          <w:tab w:val="num" w:pos="0"/>
        </w:tabs>
        <w:ind w:start="2160" w:hanging="360"/>
      </w:pPr>
      <w:rPr>
        <w:rFonts w:ascii="Wingdings" w:hAnsi="Wingdings" w:cs="Wingdings" w:hint="default"/>
      </w:rPr>
    </w:lvl>
    <w:lvl w:ilvl="5">
      <w:start w:val="1"/>
      <w:numFmt w:val="bullet"/>
      <w:lvlText w:val=""/>
      <w:lvlJc w:val="start"/>
      <w:pPr>
        <w:tabs>
          <w:tab w:val="num" w:pos="0"/>
        </w:tabs>
        <w:ind w:start="2520" w:hanging="360"/>
      </w:pPr>
      <w:rPr>
        <w:rFonts w:ascii="Wingdings" w:hAnsi="Wingdings" w:cs="Wingdings" w:hint="default"/>
      </w:rPr>
    </w:lvl>
    <w:lvl w:ilvl="6">
      <w:start w:val="1"/>
      <w:numFmt w:val="bullet"/>
      <w:lvlText w:val=""/>
      <w:lvlJc w:val="start"/>
      <w:pPr>
        <w:tabs>
          <w:tab w:val="num" w:pos="0"/>
        </w:tabs>
        <w:ind w:start="2880" w:hanging="360"/>
      </w:pPr>
      <w:rPr>
        <w:rFonts w:ascii="Wingdings" w:hAnsi="Wingdings" w:cs="Wingdings" w:hint="default"/>
      </w:rPr>
    </w:lvl>
    <w:lvl w:ilvl="7">
      <w:start w:val="1"/>
      <w:numFmt w:val="bullet"/>
      <w:lvlText w:val=""/>
      <w:lvlJc w:val="start"/>
      <w:pPr>
        <w:tabs>
          <w:tab w:val="num" w:pos="0"/>
        </w:tabs>
        <w:ind w:start="3240" w:hanging="360"/>
      </w:pPr>
      <w:rPr>
        <w:rFonts w:ascii="Wingdings" w:hAnsi="Wingdings" w:cs="Wingdings" w:hint="default"/>
      </w:rPr>
    </w:lvl>
    <w:lvl w:ilvl="8">
      <w:start w:val="1"/>
      <w:numFmt w:val="bullet"/>
      <w:lvlText w:val=""/>
      <w:lvlJc w:val="start"/>
      <w:pPr>
        <w:tabs>
          <w:tab w:val="num" w:pos="0"/>
        </w:tabs>
        <w:ind w:start="3600" w:hanging="360"/>
      </w:pPr>
      <w:rPr>
        <w:rFonts w:ascii="Wingdings" w:hAnsi="Wingdings" w:cs="Wingdings" w:hint="default"/>
      </w:rPr>
    </w:lvl>
  </w:abstractNum>
  <w:abstractNum w:abstractNumId="16">
    <w:lvl w:ilvl="0">
      <w:start w:val="1"/>
      <w:numFmt w:val="bullet"/>
      <w:lvlText w:val=""/>
      <w:lvlJc w:val="start"/>
      <w:pPr>
        <w:tabs>
          <w:tab w:val="num" w:pos="0"/>
        </w:tabs>
        <w:ind w:start="720" w:hanging="360"/>
      </w:pPr>
      <w:rPr>
        <w:rFonts w:ascii="Wingdings" w:hAnsi="Wingdings" w:cs="Wingdings" w:hint="default"/>
      </w:rPr>
    </w:lvl>
    <w:lvl w:ilvl="1">
      <w:start w:val="1"/>
      <w:numFmt w:val="bullet"/>
      <w:lvlText w:val=""/>
      <w:lvlJc w:val="start"/>
      <w:pPr>
        <w:tabs>
          <w:tab w:val="num" w:pos="0"/>
        </w:tabs>
        <w:ind w:start="1080" w:hanging="360"/>
      </w:pPr>
      <w:rPr>
        <w:rFonts w:ascii="Wingdings" w:hAnsi="Wingdings" w:cs="Wingdings" w:hint="default"/>
      </w:rPr>
    </w:lvl>
    <w:lvl w:ilvl="2">
      <w:start w:val="1"/>
      <w:numFmt w:val="bullet"/>
      <w:lvlText w:val=""/>
      <w:lvlJc w:val="start"/>
      <w:pPr>
        <w:tabs>
          <w:tab w:val="num" w:pos="0"/>
        </w:tabs>
        <w:ind w:start="1440" w:hanging="360"/>
      </w:pPr>
      <w:rPr>
        <w:rFonts w:ascii="Wingdings" w:hAnsi="Wingdings" w:cs="Wingdings" w:hint="default"/>
      </w:rPr>
    </w:lvl>
    <w:lvl w:ilvl="3">
      <w:start w:val="1"/>
      <w:numFmt w:val="bullet"/>
      <w:lvlText w:val=""/>
      <w:lvlJc w:val="start"/>
      <w:pPr>
        <w:tabs>
          <w:tab w:val="num" w:pos="0"/>
        </w:tabs>
        <w:ind w:start="1800" w:hanging="360"/>
      </w:pPr>
      <w:rPr>
        <w:rFonts w:ascii="Wingdings" w:hAnsi="Wingdings" w:cs="Wingdings" w:hint="default"/>
      </w:rPr>
    </w:lvl>
    <w:lvl w:ilvl="4">
      <w:start w:val="1"/>
      <w:numFmt w:val="bullet"/>
      <w:lvlText w:val=""/>
      <w:lvlJc w:val="start"/>
      <w:pPr>
        <w:tabs>
          <w:tab w:val="num" w:pos="0"/>
        </w:tabs>
        <w:ind w:start="2160" w:hanging="360"/>
      </w:pPr>
      <w:rPr>
        <w:rFonts w:ascii="Wingdings" w:hAnsi="Wingdings" w:cs="Wingdings" w:hint="default"/>
      </w:rPr>
    </w:lvl>
    <w:lvl w:ilvl="5">
      <w:start w:val="1"/>
      <w:numFmt w:val="bullet"/>
      <w:lvlText w:val=""/>
      <w:lvlJc w:val="start"/>
      <w:pPr>
        <w:tabs>
          <w:tab w:val="num" w:pos="0"/>
        </w:tabs>
        <w:ind w:start="2520" w:hanging="360"/>
      </w:pPr>
      <w:rPr>
        <w:rFonts w:ascii="Wingdings" w:hAnsi="Wingdings" w:cs="Wingdings" w:hint="default"/>
      </w:rPr>
    </w:lvl>
    <w:lvl w:ilvl="6">
      <w:start w:val="1"/>
      <w:numFmt w:val="bullet"/>
      <w:lvlText w:val=""/>
      <w:lvlJc w:val="start"/>
      <w:pPr>
        <w:tabs>
          <w:tab w:val="num" w:pos="0"/>
        </w:tabs>
        <w:ind w:start="2880" w:hanging="360"/>
      </w:pPr>
      <w:rPr>
        <w:rFonts w:ascii="Wingdings" w:hAnsi="Wingdings" w:cs="Wingdings" w:hint="default"/>
      </w:rPr>
    </w:lvl>
    <w:lvl w:ilvl="7">
      <w:start w:val="1"/>
      <w:numFmt w:val="bullet"/>
      <w:lvlText w:val=""/>
      <w:lvlJc w:val="start"/>
      <w:pPr>
        <w:tabs>
          <w:tab w:val="num" w:pos="0"/>
        </w:tabs>
        <w:ind w:start="3240" w:hanging="360"/>
      </w:pPr>
      <w:rPr>
        <w:rFonts w:ascii="Wingdings" w:hAnsi="Wingdings" w:cs="Wingdings" w:hint="default"/>
      </w:rPr>
    </w:lvl>
    <w:lvl w:ilvl="8">
      <w:start w:val="1"/>
      <w:numFmt w:val="bullet"/>
      <w:lvlText w:val=""/>
      <w:lvlJc w:val="start"/>
      <w:pPr>
        <w:tabs>
          <w:tab w:val="num" w:pos="0"/>
        </w:tabs>
        <w:ind w:start="3600" w:hanging="360"/>
      </w:pPr>
      <w:rPr>
        <w:rFonts w:ascii="Wingdings" w:hAnsi="Wingdings" w:cs="Wingdings" w:hint="default"/>
      </w:rPr>
    </w:lvl>
  </w:abstractNum>
  <w:abstractNum w:abstractNumId="17">
    <w:lvl w:ilvl="0">
      <w:start w:val="1"/>
      <w:numFmt w:val="bullet"/>
      <w:lvlText w:val=""/>
      <w:lvlJc w:val="start"/>
      <w:pPr>
        <w:tabs>
          <w:tab w:val="num" w:pos="0"/>
        </w:tabs>
        <w:ind w:start="720" w:hanging="360"/>
      </w:pPr>
      <w:rPr>
        <w:rFonts w:ascii="Wingdings" w:hAnsi="Wingdings" w:cs="Wingdings" w:hint="default"/>
      </w:rPr>
    </w:lvl>
    <w:lvl w:ilvl="1">
      <w:start w:val="1"/>
      <w:numFmt w:val="bullet"/>
      <w:lvlText w:val=""/>
      <w:lvlJc w:val="start"/>
      <w:pPr>
        <w:tabs>
          <w:tab w:val="num" w:pos="0"/>
        </w:tabs>
        <w:ind w:start="1080" w:hanging="360"/>
      </w:pPr>
      <w:rPr>
        <w:rFonts w:ascii="Wingdings" w:hAnsi="Wingdings" w:cs="Wingdings" w:hint="default"/>
      </w:rPr>
    </w:lvl>
    <w:lvl w:ilvl="2">
      <w:start w:val="1"/>
      <w:numFmt w:val="bullet"/>
      <w:lvlText w:val=""/>
      <w:lvlJc w:val="start"/>
      <w:pPr>
        <w:tabs>
          <w:tab w:val="num" w:pos="0"/>
        </w:tabs>
        <w:ind w:start="1440" w:hanging="360"/>
      </w:pPr>
      <w:rPr>
        <w:rFonts w:ascii="Wingdings" w:hAnsi="Wingdings" w:cs="Wingdings" w:hint="default"/>
      </w:rPr>
    </w:lvl>
    <w:lvl w:ilvl="3">
      <w:start w:val="1"/>
      <w:numFmt w:val="bullet"/>
      <w:lvlText w:val=""/>
      <w:lvlJc w:val="start"/>
      <w:pPr>
        <w:tabs>
          <w:tab w:val="num" w:pos="0"/>
        </w:tabs>
        <w:ind w:start="1800" w:hanging="360"/>
      </w:pPr>
      <w:rPr>
        <w:rFonts w:ascii="Wingdings" w:hAnsi="Wingdings" w:cs="Wingdings" w:hint="default"/>
      </w:rPr>
    </w:lvl>
    <w:lvl w:ilvl="4">
      <w:start w:val="1"/>
      <w:numFmt w:val="bullet"/>
      <w:lvlText w:val=""/>
      <w:lvlJc w:val="start"/>
      <w:pPr>
        <w:tabs>
          <w:tab w:val="num" w:pos="0"/>
        </w:tabs>
        <w:ind w:start="2160" w:hanging="360"/>
      </w:pPr>
      <w:rPr>
        <w:rFonts w:ascii="Wingdings" w:hAnsi="Wingdings" w:cs="Wingdings" w:hint="default"/>
      </w:rPr>
    </w:lvl>
    <w:lvl w:ilvl="5">
      <w:start w:val="1"/>
      <w:numFmt w:val="bullet"/>
      <w:lvlText w:val=""/>
      <w:lvlJc w:val="start"/>
      <w:pPr>
        <w:tabs>
          <w:tab w:val="num" w:pos="0"/>
        </w:tabs>
        <w:ind w:start="2520" w:hanging="360"/>
      </w:pPr>
      <w:rPr>
        <w:rFonts w:ascii="Wingdings" w:hAnsi="Wingdings" w:cs="Wingdings" w:hint="default"/>
      </w:rPr>
    </w:lvl>
    <w:lvl w:ilvl="6">
      <w:start w:val="1"/>
      <w:numFmt w:val="bullet"/>
      <w:lvlText w:val=""/>
      <w:lvlJc w:val="start"/>
      <w:pPr>
        <w:tabs>
          <w:tab w:val="num" w:pos="0"/>
        </w:tabs>
        <w:ind w:start="2880" w:hanging="360"/>
      </w:pPr>
      <w:rPr>
        <w:rFonts w:ascii="Wingdings" w:hAnsi="Wingdings" w:cs="Wingdings" w:hint="default"/>
      </w:rPr>
    </w:lvl>
    <w:lvl w:ilvl="7">
      <w:start w:val="1"/>
      <w:numFmt w:val="bullet"/>
      <w:lvlText w:val=""/>
      <w:lvlJc w:val="start"/>
      <w:pPr>
        <w:tabs>
          <w:tab w:val="num" w:pos="0"/>
        </w:tabs>
        <w:ind w:start="3240" w:hanging="360"/>
      </w:pPr>
      <w:rPr>
        <w:rFonts w:ascii="Wingdings" w:hAnsi="Wingdings" w:cs="Wingdings" w:hint="default"/>
      </w:rPr>
    </w:lvl>
    <w:lvl w:ilvl="8">
      <w:start w:val="1"/>
      <w:numFmt w:val="bullet"/>
      <w:lvlText w:val=""/>
      <w:lvlJc w:val="start"/>
      <w:pPr>
        <w:tabs>
          <w:tab w:val="num" w:pos="0"/>
        </w:tabs>
        <w:ind w:start="360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2"/>
    <w:lvlOverride w:ilvl="0">
      <w:startOverride w:val="1"/>
    </w:lvlOverride>
  </w:num>
  <w:num w:numId="19">
    <w:abstractNumId w:val="4"/>
    <w:lvlOverride w:ilvl="0">
      <w:startOverride w:val="0"/>
    </w:lvlOverride>
  </w:num>
  <w:num w:numId="20">
    <w:abstractNumId w:val="5"/>
    <w:lvlOverride w:ilvl="0">
      <w:startOverride w:val="0"/>
    </w:lvlOverride>
  </w:num>
  <w:num w:numId="21">
    <w:abstractNumId w:val="6"/>
    <w:lvlOverride w:ilvl="0">
      <w:startOverride w:val="0"/>
    </w:lvlOverride>
  </w:num>
  <w:num w:numId="22">
    <w:abstractNumId w:val="7"/>
    <w:lvlOverride w:ilvl="0">
      <w:startOverride w:val="0"/>
    </w:lvlOverride>
  </w:num>
  <w:num w:numId="23">
    <w:abstractNumId w:val="8"/>
    <w:lvlOverride w:ilvl="0">
      <w:startOverride w:val="0"/>
    </w:lvlOverride>
  </w:num>
  <w:num w:numId="24">
    <w:abstractNumId w:val="9"/>
    <w:lvlOverride w:ilvl="0">
      <w:startOverride w:val="0"/>
    </w:lvlOverride>
  </w:num>
</w:numbering>
</file>

<file path=word/settings.xml><?xml version="1.0" encoding="utf-8"?>
<w:settings xmlns:w="http://schemas.openxmlformats.org/wordprocessingml/2006/main">
  <w:zoom w:percent="160"/>
  <w:defaultTabStop w:val="709"/>
  <w:autoHyphenation w:val="true"/>
  <w:hyphenationZone w:val="0"/>
  <w:compat>
    <w:compatSetting w:name="compatibilityMode" w:uri="http://schemas.microsoft.com/office/word" w:val="15"/>
    <w:compatSetting w:name="useWord2013TrackBottomHyphenation" w:uri="http://schemas.microsoft.com/office/word" w:val="1"/>
    <w:compatSetting w:name="allowHyphenationAtTrackBottom" w:uri="http://schemas.microsoft.com/office/word" w:val="1"/>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Lucida Sans"/>
        <w:kern w:val="2"/>
        <w:sz w:val="24"/>
        <w:szCs w:val="24"/>
        <w:lang w:val="pl-PL" w:eastAsia="zh-CN" w:bidi="hi-IN"/>
      </w:rPr>
    </w:rPrDefault>
    <w:pPrDefault>
      <w:pPr>
        <w:widowControl/>
        <w:suppressAutoHyphens w:val="false"/>
      </w:pPr>
    </w:pPrDefault>
  </w:docDefaults>
  <w:style w:type="paragraph" w:styleId="Normal">
    <w:name w:val="Normal"/>
    <w:qFormat/>
    <w:pPr>
      <w:keepNext w:val="false"/>
      <w:keepLines w:val="false"/>
      <w:pageBreakBefore w:val="false"/>
      <w:widowControl/>
      <w:pBdr/>
      <w:shd w:fill="auto" w:val="clear"/>
      <w:suppressAutoHyphens w:val="true"/>
      <w:kinsoku w:val="true"/>
      <w:overflowPunct w:val="true"/>
      <w:autoSpaceDE w:val="true"/>
      <w:bidi w:val="0"/>
      <w:snapToGrid w:val="true"/>
      <w:spacing w:lineRule="auto" w:line="240" w:before="0" w:after="0"/>
      <w:jc w:val="start"/>
    </w:pPr>
    <w:rPr>
      <w:rFonts w:ascii="Liberation Serif" w:hAnsi="Liberation Serif" w:eastAsia="NSimSun" w:cs="Lucida Sans"/>
      <w:b w:val="false"/>
      <w:bCs w:val="false"/>
      <w:i w:val="false"/>
      <w:iCs w:val="false"/>
      <w:caps w:val="false"/>
      <w:smallCaps w:val="false"/>
      <w:strike w:val="false"/>
      <w:dstrike w:val="false"/>
      <w:outline w:val="false"/>
      <w:emboss w:val="false"/>
      <w:imprint w:val="false"/>
      <w:color w:val="auto"/>
      <w:spacing w:val="0"/>
      <w:w w:val="100"/>
      <w:kern w:val="2"/>
      <w:position w:val="0"/>
      <w:sz w:val="24"/>
      <w:szCs w:val="24"/>
      <w:u w:val="none"/>
      <w:shd w:fill="auto" w:val="clear"/>
      <w:vertAlign w:val="baseline"/>
      <w:em w:val="none"/>
      <w:lang w:val="pl-PL" w:eastAsia="zh-CN" w:bidi="hi-IN"/>
    </w:rPr>
  </w:style>
  <w:style w:type="character" w:styleId="Domylnaczcionkaakapitu">
    <w:name w:val="Domyślna czcionka akapitu"/>
    <w:qFormat/>
    <w:rPr/>
  </w:style>
  <w:style w:type="character" w:styleId="Teksttreci">
    <w:name w:val="Tekst treści_"/>
    <w:qFormat/>
    <w:rPr>
      <w:rFonts w:ascii="Times New Roman" w:hAnsi="Times New Roman" w:eastAsia="Times New Roman" w:cs="Times New Roman"/>
      <w:color w:val="000000"/>
      <w:sz w:val="22"/>
      <w:szCs w:val="22"/>
      <w:u w:val="none"/>
    </w:rPr>
  </w:style>
  <w:style w:type="character" w:styleId="Teksttreci2">
    <w:name w:val="Tekst treści (2)_"/>
    <w:qFormat/>
    <w:rPr>
      <w:rFonts w:ascii="Times New Roman" w:hAnsi="Times New Roman" w:eastAsia="Times New Roman" w:cs="Times New Roman"/>
      <w:b/>
      <w:bCs/>
      <w:color w:val="000000"/>
      <w:sz w:val="22"/>
      <w:szCs w:val="22"/>
      <w:u w:val="none"/>
    </w:rPr>
  </w:style>
  <w:style w:type="character" w:styleId="Znakiwypunktowania">
    <w:name w:val="Znaki wypunktowania"/>
    <w:qFormat/>
    <w:rPr>
      <w:rFonts w:ascii="OpenSymbol" w:hAnsi="OpenSymbol" w:eastAsia="OpenSymbol" w:cs="OpenSymbol"/>
    </w:rPr>
  </w:style>
  <w:style w:type="character" w:styleId="Strong">
    <w:name w:val="Strong"/>
    <w:qFormat/>
    <w:rPr>
      <w:b/>
      <w:bCs/>
    </w:rPr>
  </w:style>
  <w:style w:type="character" w:styleId="WWCharLFO2LVL1">
    <w:name w:val="WW_CharLFO2LVL1"/>
    <w:qFormat/>
    <w:rPr>
      <w:rFonts w:cs="OpenSymbol"/>
      <w:b w:val="false"/>
    </w:rPr>
  </w:style>
  <w:style w:type="character" w:styleId="WWCharLFO2LVL2">
    <w:name w:val="WW_CharLFO2LVL2"/>
    <w:qFormat/>
    <w:rPr>
      <w:rFonts w:cs="OpenSymbol"/>
    </w:rPr>
  </w:style>
  <w:style w:type="character" w:styleId="WWCharLFO2LVL3">
    <w:name w:val="WW_CharLFO2LVL3"/>
    <w:qFormat/>
    <w:rPr>
      <w:rFonts w:cs="OpenSymbol"/>
    </w:rPr>
  </w:style>
  <w:style w:type="character" w:styleId="WWCharLFO2LVL4">
    <w:name w:val="WW_CharLFO2LVL4"/>
    <w:qFormat/>
    <w:rPr>
      <w:rFonts w:cs="OpenSymbol"/>
    </w:rPr>
  </w:style>
  <w:style w:type="character" w:styleId="WWCharLFO2LVL5">
    <w:name w:val="WW_CharLFO2LVL5"/>
    <w:qFormat/>
    <w:rPr>
      <w:rFonts w:cs="OpenSymbol"/>
    </w:rPr>
  </w:style>
  <w:style w:type="character" w:styleId="WWCharLFO2LVL6">
    <w:name w:val="WW_CharLFO2LVL6"/>
    <w:qFormat/>
    <w:rPr>
      <w:rFonts w:cs="OpenSymbol"/>
    </w:rPr>
  </w:style>
  <w:style w:type="character" w:styleId="WWCharLFO2LVL7">
    <w:name w:val="WW_CharLFO2LVL7"/>
    <w:qFormat/>
    <w:rPr>
      <w:rFonts w:cs="OpenSymbol"/>
    </w:rPr>
  </w:style>
  <w:style w:type="character" w:styleId="WWCharLFO2LVL8">
    <w:name w:val="WW_CharLFO2LVL8"/>
    <w:qFormat/>
    <w:rPr>
      <w:rFonts w:cs="OpenSymbol"/>
    </w:rPr>
  </w:style>
  <w:style w:type="character" w:styleId="WWCharLFO2LVL9">
    <w:name w:val="WW_CharLFO2LVL9"/>
    <w:qFormat/>
    <w:rPr>
      <w:rFonts w:cs="OpenSymbol"/>
    </w:rPr>
  </w:style>
  <w:style w:type="character" w:styleId="WWCharLFO3LVL6">
    <w:name w:val="WW_CharLFO3LVL6"/>
    <w:qFormat/>
    <w:rPr>
      <w:rFonts w:ascii="OpenSymbol" w:hAnsi="OpenSymbol" w:eastAsia="OpenSymbol" w:cs="OpenSymbol"/>
    </w:rPr>
  </w:style>
  <w:style w:type="character" w:styleId="WWCharLFO3LVL7">
    <w:name w:val="WW_CharLFO3LVL7"/>
    <w:qFormat/>
    <w:rPr>
      <w:rFonts w:ascii="OpenSymbol" w:hAnsi="OpenSymbol" w:eastAsia="OpenSymbol" w:cs="OpenSymbol"/>
    </w:rPr>
  </w:style>
  <w:style w:type="character" w:styleId="WWCharLFO3LVL8">
    <w:name w:val="WW_CharLFO3LVL8"/>
    <w:qFormat/>
    <w:rPr>
      <w:rFonts w:ascii="OpenSymbol" w:hAnsi="OpenSymbol" w:eastAsia="OpenSymbol" w:cs="OpenSymbol"/>
    </w:rPr>
  </w:style>
  <w:style w:type="character" w:styleId="WWCharLFO3LVL9">
    <w:name w:val="WW_CharLFO3LVL9"/>
    <w:qFormat/>
    <w:rPr>
      <w:rFonts w:ascii="OpenSymbol" w:hAnsi="OpenSymbol" w:eastAsia="OpenSymbol" w:cs="OpenSymbol"/>
    </w:rPr>
  </w:style>
  <w:style w:type="character" w:styleId="WWCharLFO4LVL1">
    <w:name w:val="WW_CharLFO4LVL1"/>
    <w:qFormat/>
    <w:rPr>
      <w:rFonts w:ascii="Symbol" w:hAnsi="Symbol" w:cs="OpenSymbol;Arial Unicode MS"/>
    </w:rPr>
  </w:style>
  <w:style w:type="character" w:styleId="WWCharLFO4LVL2">
    <w:name w:val="WW_CharLFO4LVL2"/>
    <w:qFormat/>
    <w:rPr>
      <w:rFonts w:ascii="OpenSymbol;Arial Unicode MS" w:hAnsi="OpenSymbol;Arial Unicode MS" w:cs="OpenSymbol;Arial Unicode MS"/>
    </w:rPr>
  </w:style>
  <w:style w:type="character" w:styleId="WWCharLFO4LVL3">
    <w:name w:val="WW_CharLFO4LVL3"/>
    <w:qFormat/>
    <w:rPr>
      <w:rFonts w:ascii="OpenSymbol;Arial Unicode MS" w:hAnsi="OpenSymbol;Arial Unicode MS" w:cs="OpenSymbol;Arial Unicode MS"/>
    </w:rPr>
  </w:style>
  <w:style w:type="character" w:styleId="WWCharLFO4LVL4">
    <w:name w:val="WW_CharLFO4LVL4"/>
    <w:qFormat/>
    <w:rPr>
      <w:rFonts w:ascii="Symbol" w:hAnsi="Symbol" w:cs="OpenSymbol;Arial Unicode MS"/>
    </w:rPr>
  </w:style>
  <w:style w:type="character" w:styleId="WWCharLFO4LVL5">
    <w:name w:val="WW_CharLFO4LVL5"/>
    <w:qFormat/>
    <w:rPr>
      <w:rFonts w:ascii="OpenSymbol;Arial Unicode MS" w:hAnsi="OpenSymbol;Arial Unicode MS" w:cs="OpenSymbol;Arial Unicode MS"/>
    </w:rPr>
  </w:style>
  <w:style w:type="character" w:styleId="WWCharLFO4LVL6">
    <w:name w:val="WW_CharLFO4LVL6"/>
    <w:qFormat/>
    <w:rPr>
      <w:rFonts w:ascii="OpenSymbol;Arial Unicode MS" w:hAnsi="OpenSymbol;Arial Unicode MS" w:cs="OpenSymbol;Arial Unicode MS"/>
    </w:rPr>
  </w:style>
  <w:style w:type="character" w:styleId="WWCharLFO4LVL7">
    <w:name w:val="WW_CharLFO4LVL7"/>
    <w:qFormat/>
    <w:rPr>
      <w:rFonts w:ascii="Symbol" w:hAnsi="Symbol" w:cs="OpenSymbol;Arial Unicode MS"/>
    </w:rPr>
  </w:style>
  <w:style w:type="character" w:styleId="WWCharLFO4LVL8">
    <w:name w:val="WW_CharLFO4LVL8"/>
    <w:qFormat/>
    <w:rPr>
      <w:rFonts w:ascii="OpenSymbol;Arial Unicode MS" w:hAnsi="OpenSymbol;Arial Unicode MS" w:cs="OpenSymbol;Arial Unicode MS"/>
    </w:rPr>
  </w:style>
  <w:style w:type="character" w:styleId="WWCharLFO4LVL9">
    <w:name w:val="WW_CharLFO4LVL9"/>
    <w:qFormat/>
    <w:rPr>
      <w:rFonts w:ascii="OpenSymbol;Arial Unicode MS" w:hAnsi="OpenSymbol;Arial Unicode MS" w:cs="OpenSymbol;Arial Unicode MS"/>
    </w:rPr>
  </w:style>
  <w:style w:type="character" w:styleId="WWCharLFO5LVL1">
    <w:name w:val="WW_CharLFO5LVL1"/>
    <w:qFormat/>
    <w:rPr>
      <w:rFonts w:ascii="Symbol" w:hAnsi="Symbol" w:cs="OpenSymbol;Arial Unicode MS"/>
    </w:rPr>
  </w:style>
  <w:style w:type="character" w:styleId="WWCharLFO5LVL2">
    <w:name w:val="WW_CharLFO5LVL2"/>
    <w:qFormat/>
    <w:rPr>
      <w:rFonts w:ascii="OpenSymbol;Arial Unicode MS" w:hAnsi="OpenSymbol;Arial Unicode MS" w:cs="OpenSymbol;Arial Unicode MS"/>
    </w:rPr>
  </w:style>
  <w:style w:type="character" w:styleId="WWCharLFO5LVL3">
    <w:name w:val="WW_CharLFO5LVL3"/>
    <w:qFormat/>
    <w:rPr>
      <w:rFonts w:ascii="OpenSymbol;Arial Unicode MS" w:hAnsi="OpenSymbol;Arial Unicode MS" w:cs="OpenSymbol;Arial Unicode MS"/>
    </w:rPr>
  </w:style>
  <w:style w:type="character" w:styleId="WWCharLFO5LVL4">
    <w:name w:val="WW_CharLFO5LVL4"/>
    <w:qFormat/>
    <w:rPr>
      <w:rFonts w:ascii="Symbol" w:hAnsi="Symbol" w:cs="OpenSymbol;Arial Unicode MS"/>
    </w:rPr>
  </w:style>
  <w:style w:type="character" w:styleId="WWCharLFO5LVL5">
    <w:name w:val="WW_CharLFO5LVL5"/>
    <w:qFormat/>
    <w:rPr>
      <w:rFonts w:ascii="OpenSymbol;Arial Unicode MS" w:hAnsi="OpenSymbol;Arial Unicode MS" w:cs="OpenSymbol;Arial Unicode MS"/>
    </w:rPr>
  </w:style>
  <w:style w:type="character" w:styleId="WWCharLFO5LVL6">
    <w:name w:val="WW_CharLFO5LVL6"/>
    <w:qFormat/>
    <w:rPr>
      <w:rFonts w:ascii="OpenSymbol;Arial Unicode MS" w:hAnsi="OpenSymbol;Arial Unicode MS" w:cs="OpenSymbol;Arial Unicode MS"/>
    </w:rPr>
  </w:style>
  <w:style w:type="character" w:styleId="WWCharLFO5LVL7">
    <w:name w:val="WW_CharLFO5LVL7"/>
    <w:qFormat/>
    <w:rPr>
      <w:rFonts w:ascii="Symbol" w:hAnsi="Symbol" w:cs="OpenSymbol;Arial Unicode MS"/>
    </w:rPr>
  </w:style>
  <w:style w:type="character" w:styleId="WWCharLFO5LVL8">
    <w:name w:val="WW_CharLFO5LVL8"/>
    <w:qFormat/>
    <w:rPr>
      <w:rFonts w:ascii="OpenSymbol;Arial Unicode MS" w:hAnsi="OpenSymbol;Arial Unicode MS" w:cs="OpenSymbol;Arial Unicode MS"/>
    </w:rPr>
  </w:style>
  <w:style w:type="character" w:styleId="WWCharLFO5LVL9">
    <w:name w:val="WW_CharLFO5LVL9"/>
    <w:qFormat/>
    <w:rPr>
      <w:rFonts w:ascii="OpenSymbol;Arial Unicode MS" w:hAnsi="OpenSymbol;Arial Unicode MS" w:cs="OpenSymbol;Arial Unicode MS"/>
    </w:rPr>
  </w:style>
  <w:style w:type="character" w:styleId="WWCharLFO6LVL1">
    <w:name w:val="WW_CharLFO6LVL1"/>
    <w:qFormat/>
    <w:rPr>
      <w:rFonts w:ascii="Symbol" w:hAnsi="Symbol" w:cs="OpenSymbol;Arial Unicode MS"/>
    </w:rPr>
  </w:style>
  <w:style w:type="character" w:styleId="WWCharLFO6LVL2">
    <w:name w:val="WW_CharLFO6LVL2"/>
    <w:qFormat/>
    <w:rPr>
      <w:rFonts w:ascii="OpenSymbol;Arial Unicode MS" w:hAnsi="OpenSymbol;Arial Unicode MS" w:cs="OpenSymbol;Arial Unicode MS"/>
    </w:rPr>
  </w:style>
  <w:style w:type="character" w:styleId="WWCharLFO6LVL3">
    <w:name w:val="WW_CharLFO6LVL3"/>
    <w:qFormat/>
    <w:rPr>
      <w:rFonts w:ascii="OpenSymbol;Arial Unicode MS" w:hAnsi="OpenSymbol;Arial Unicode MS" w:cs="OpenSymbol;Arial Unicode MS"/>
    </w:rPr>
  </w:style>
  <w:style w:type="character" w:styleId="WWCharLFO6LVL4">
    <w:name w:val="WW_CharLFO6LVL4"/>
    <w:qFormat/>
    <w:rPr>
      <w:rFonts w:ascii="Symbol" w:hAnsi="Symbol" w:cs="OpenSymbol;Arial Unicode MS"/>
    </w:rPr>
  </w:style>
  <w:style w:type="character" w:styleId="WWCharLFO6LVL5">
    <w:name w:val="WW_CharLFO6LVL5"/>
    <w:qFormat/>
    <w:rPr>
      <w:rFonts w:ascii="OpenSymbol;Arial Unicode MS" w:hAnsi="OpenSymbol;Arial Unicode MS" w:cs="OpenSymbol;Arial Unicode MS"/>
    </w:rPr>
  </w:style>
  <w:style w:type="character" w:styleId="WWCharLFO6LVL6">
    <w:name w:val="WW_CharLFO6LVL6"/>
    <w:qFormat/>
    <w:rPr>
      <w:rFonts w:ascii="OpenSymbol;Arial Unicode MS" w:hAnsi="OpenSymbol;Arial Unicode MS" w:cs="OpenSymbol;Arial Unicode MS"/>
    </w:rPr>
  </w:style>
  <w:style w:type="character" w:styleId="WWCharLFO6LVL7">
    <w:name w:val="WW_CharLFO6LVL7"/>
    <w:qFormat/>
    <w:rPr>
      <w:rFonts w:ascii="Symbol" w:hAnsi="Symbol" w:cs="OpenSymbol;Arial Unicode MS"/>
    </w:rPr>
  </w:style>
  <w:style w:type="character" w:styleId="WWCharLFO6LVL8">
    <w:name w:val="WW_CharLFO6LVL8"/>
    <w:qFormat/>
    <w:rPr>
      <w:rFonts w:ascii="OpenSymbol;Arial Unicode MS" w:hAnsi="OpenSymbol;Arial Unicode MS" w:cs="OpenSymbol;Arial Unicode MS"/>
    </w:rPr>
  </w:style>
  <w:style w:type="character" w:styleId="WWCharLFO6LVL9">
    <w:name w:val="WW_CharLFO6LVL9"/>
    <w:qFormat/>
    <w:rPr>
      <w:rFonts w:ascii="OpenSymbol;Arial Unicode MS" w:hAnsi="OpenSymbol;Arial Unicode MS" w:cs="OpenSymbol;Arial Unicode MS"/>
    </w:rPr>
  </w:style>
  <w:style w:type="character" w:styleId="WWCharLFO7LVL1">
    <w:name w:val="WW_CharLFO7LVL1"/>
    <w:qFormat/>
    <w:rPr>
      <w:rFonts w:ascii="Symbol" w:hAnsi="Symbol" w:eastAsia="Liberation Serif" w:cs="OpenSymbol;Arial Unicode MS"/>
      <w:color w:val="000000"/>
      <w:sz w:val="24"/>
      <w:szCs w:val="24"/>
      <w:shd w:fill="auto" w:val="clear"/>
      <w:lang w:val="pl-PL"/>
    </w:rPr>
  </w:style>
  <w:style w:type="character" w:styleId="WWCharLFO7LVL2">
    <w:name w:val="WW_CharLFO7LVL2"/>
    <w:qFormat/>
    <w:rPr>
      <w:rFonts w:ascii="OpenSymbol;Arial Unicode MS" w:hAnsi="OpenSymbol;Arial Unicode MS" w:cs="OpenSymbol;Arial Unicode MS"/>
    </w:rPr>
  </w:style>
  <w:style w:type="character" w:styleId="WWCharLFO7LVL3">
    <w:name w:val="WW_CharLFO7LVL3"/>
    <w:qFormat/>
    <w:rPr>
      <w:rFonts w:ascii="OpenSymbol;Arial Unicode MS" w:hAnsi="OpenSymbol;Arial Unicode MS" w:cs="OpenSymbol;Arial Unicode MS"/>
    </w:rPr>
  </w:style>
  <w:style w:type="character" w:styleId="WWCharLFO7LVL4">
    <w:name w:val="WW_CharLFO7LVL4"/>
    <w:qFormat/>
    <w:rPr>
      <w:rFonts w:ascii="Symbol" w:hAnsi="Symbol" w:eastAsia="Liberation Serif" w:cs="OpenSymbol;Arial Unicode MS"/>
      <w:color w:val="000000"/>
      <w:sz w:val="24"/>
      <w:szCs w:val="24"/>
      <w:shd w:fill="auto" w:val="clear"/>
      <w:lang w:val="pl-PL"/>
    </w:rPr>
  </w:style>
  <w:style w:type="character" w:styleId="WWCharLFO7LVL5">
    <w:name w:val="WW_CharLFO7LVL5"/>
    <w:qFormat/>
    <w:rPr>
      <w:rFonts w:ascii="OpenSymbol;Arial Unicode MS" w:hAnsi="OpenSymbol;Arial Unicode MS" w:cs="OpenSymbol;Arial Unicode MS"/>
    </w:rPr>
  </w:style>
  <w:style w:type="character" w:styleId="WWCharLFO7LVL6">
    <w:name w:val="WW_CharLFO7LVL6"/>
    <w:qFormat/>
    <w:rPr>
      <w:rFonts w:ascii="OpenSymbol;Arial Unicode MS" w:hAnsi="OpenSymbol;Arial Unicode MS" w:cs="OpenSymbol;Arial Unicode MS"/>
    </w:rPr>
  </w:style>
  <w:style w:type="character" w:styleId="WWCharLFO7LVL7">
    <w:name w:val="WW_CharLFO7LVL7"/>
    <w:qFormat/>
    <w:rPr>
      <w:rFonts w:ascii="Symbol" w:hAnsi="Symbol" w:eastAsia="Liberation Serif" w:cs="OpenSymbol;Arial Unicode MS"/>
      <w:color w:val="000000"/>
      <w:sz w:val="24"/>
      <w:szCs w:val="24"/>
      <w:shd w:fill="auto" w:val="clear"/>
      <w:lang w:val="pl-PL"/>
    </w:rPr>
  </w:style>
  <w:style w:type="character" w:styleId="WWCharLFO7LVL8">
    <w:name w:val="WW_CharLFO7LVL8"/>
    <w:qFormat/>
    <w:rPr>
      <w:rFonts w:ascii="OpenSymbol;Arial Unicode MS" w:hAnsi="OpenSymbol;Arial Unicode MS" w:cs="OpenSymbol;Arial Unicode MS"/>
    </w:rPr>
  </w:style>
  <w:style w:type="character" w:styleId="WWCharLFO7LVL9">
    <w:name w:val="WW_CharLFO7LVL9"/>
    <w:qFormat/>
    <w:rPr>
      <w:rFonts w:ascii="OpenSymbol;Arial Unicode MS" w:hAnsi="OpenSymbol;Arial Unicode MS" w:cs="OpenSymbol;Arial Unicode MS"/>
    </w:rPr>
  </w:style>
  <w:style w:type="character" w:styleId="WWCharLFO8LVL1">
    <w:name w:val="WW_CharLFO8LVL1"/>
    <w:qFormat/>
    <w:rPr>
      <w:rFonts w:ascii="Symbol" w:hAnsi="Symbol"/>
    </w:rPr>
  </w:style>
  <w:style w:type="character" w:styleId="WWCharLFO10LVL1">
    <w:name w:val="WW_CharLFO10LVL1"/>
    <w:qFormat/>
    <w:rPr>
      <w:rFonts w:ascii="Symbol" w:hAnsi="Symbol"/>
    </w:rPr>
  </w:style>
  <w:style w:type="character" w:styleId="WWCharOUTLINELVL1">
    <w:name w:val="WW_CharOUTLINELVL1"/>
    <w:qFormat/>
    <w:rPr>
      <w:rFonts w:cs="OpenSymbol"/>
      <w:b w:val="false"/>
    </w:rPr>
  </w:style>
  <w:style w:type="character" w:styleId="WWCharLFO12LVL1">
    <w:name w:val="WW_CharLFO12LVL1"/>
    <w:qFormat/>
    <w:rPr>
      <w:rFonts w:ascii="OpenSymbol" w:hAnsi="OpenSymbol" w:eastAsia="OpenSymbol" w:cs="OpenSymbol"/>
    </w:rPr>
  </w:style>
  <w:style w:type="character" w:styleId="WWCharLFO12LVL2">
    <w:name w:val="WW_CharLFO12LVL2"/>
    <w:qFormat/>
    <w:rPr>
      <w:rFonts w:ascii="OpenSymbol" w:hAnsi="OpenSymbol" w:eastAsia="OpenSymbol" w:cs="OpenSymbol"/>
    </w:rPr>
  </w:style>
  <w:style w:type="character" w:styleId="WWCharLFO12LVL3">
    <w:name w:val="WW_CharLFO12LVL3"/>
    <w:qFormat/>
    <w:rPr>
      <w:rFonts w:ascii="OpenSymbol" w:hAnsi="OpenSymbol" w:eastAsia="OpenSymbol" w:cs="OpenSymbol"/>
    </w:rPr>
  </w:style>
  <w:style w:type="character" w:styleId="WWCharLFO12LVL4">
    <w:name w:val="WW_CharLFO12LVL4"/>
    <w:qFormat/>
    <w:rPr>
      <w:rFonts w:ascii="OpenSymbol" w:hAnsi="OpenSymbol" w:eastAsia="OpenSymbol" w:cs="OpenSymbol"/>
    </w:rPr>
  </w:style>
  <w:style w:type="character" w:styleId="WWCharLFO12LVL5">
    <w:name w:val="WW_CharLFO12LVL5"/>
    <w:qFormat/>
    <w:rPr>
      <w:rFonts w:ascii="OpenSymbol" w:hAnsi="OpenSymbol" w:eastAsia="OpenSymbol" w:cs="OpenSymbol"/>
    </w:rPr>
  </w:style>
  <w:style w:type="character" w:styleId="WWCharLFO12LVL6">
    <w:name w:val="WW_CharLFO12LVL6"/>
    <w:qFormat/>
    <w:rPr>
      <w:rFonts w:ascii="OpenSymbol" w:hAnsi="OpenSymbol" w:eastAsia="OpenSymbol" w:cs="OpenSymbol"/>
    </w:rPr>
  </w:style>
  <w:style w:type="character" w:styleId="WWCharLFO12LVL7">
    <w:name w:val="WW_CharLFO12LVL7"/>
    <w:qFormat/>
    <w:rPr>
      <w:rFonts w:ascii="OpenSymbol" w:hAnsi="OpenSymbol" w:eastAsia="OpenSymbol" w:cs="OpenSymbol"/>
    </w:rPr>
  </w:style>
  <w:style w:type="character" w:styleId="WWCharLFO12LVL8">
    <w:name w:val="WW_CharLFO12LVL8"/>
    <w:qFormat/>
    <w:rPr>
      <w:rFonts w:ascii="OpenSymbol" w:hAnsi="OpenSymbol" w:eastAsia="OpenSymbol" w:cs="OpenSymbol"/>
    </w:rPr>
  </w:style>
  <w:style w:type="character" w:styleId="WWCharLFO12LVL9">
    <w:name w:val="WW_CharLFO12LVL9"/>
    <w:qFormat/>
    <w:rPr>
      <w:rFonts w:ascii="OpenSymbol" w:hAnsi="OpenSymbol" w:eastAsia="OpenSymbol" w:cs="OpenSymbol"/>
    </w:rPr>
  </w:style>
  <w:style w:type="character" w:styleId="WWCharLFO16LVL1">
    <w:name w:val="WW_CharLFO16LVL1"/>
    <w:qFormat/>
    <w:rPr>
      <w:rFonts w:ascii="OpenSymbol" w:hAnsi="OpenSymbol" w:eastAsia="OpenSymbol" w:cs="OpenSymbol"/>
    </w:rPr>
  </w:style>
  <w:style w:type="character" w:styleId="WWCharLFO16LVL2">
    <w:name w:val="WW_CharLFO16LVL2"/>
    <w:qFormat/>
    <w:rPr>
      <w:rFonts w:ascii="OpenSymbol" w:hAnsi="OpenSymbol" w:eastAsia="OpenSymbol" w:cs="OpenSymbol"/>
    </w:rPr>
  </w:style>
  <w:style w:type="character" w:styleId="WWCharLFO16LVL3">
    <w:name w:val="WW_CharLFO16LVL3"/>
    <w:qFormat/>
    <w:rPr>
      <w:rFonts w:ascii="OpenSymbol" w:hAnsi="OpenSymbol" w:eastAsia="OpenSymbol" w:cs="OpenSymbol"/>
    </w:rPr>
  </w:style>
  <w:style w:type="character" w:styleId="WWCharLFO16LVL4">
    <w:name w:val="WW_CharLFO16LVL4"/>
    <w:qFormat/>
    <w:rPr>
      <w:rFonts w:ascii="OpenSymbol" w:hAnsi="OpenSymbol" w:eastAsia="OpenSymbol" w:cs="OpenSymbol"/>
    </w:rPr>
  </w:style>
  <w:style w:type="character" w:styleId="WWCharLFO16LVL5">
    <w:name w:val="WW_CharLFO16LVL5"/>
    <w:qFormat/>
    <w:rPr>
      <w:rFonts w:ascii="OpenSymbol" w:hAnsi="OpenSymbol" w:eastAsia="OpenSymbol" w:cs="OpenSymbol"/>
    </w:rPr>
  </w:style>
  <w:style w:type="character" w:styleId="WWCharLFO16LVL6">
    <w:name w:val="WW_CharLFO16LVL6"/>
    <w:qFormat/>
    <w:rPr>
      <w:rFonts w:ascii="OpenSymbol" w:hAnsi="OpenSymbol" w:eastAsia="OpenSymbol" w:cs="OpenSymbol"/>
    </w:rPr>
  </w:style>
  <w:style w:type="character" w:styleId="WWCharLFO16LVL7">
    <w:name w:val="WW_CharLFO16LVL7"/>
    <w:qFormat/>
    <w:rPr>
      <w:rFonts w:ascii="OpenSymbol" w:hAnsi="OpenSymbol" w:eastAsia="OpenSymbol" w:cs="OpenSymbol"/>
    </w:rPr>
  </w:style>
  <w:style w:type="character" w:styleId="WWCharLFO16LVL8">
    <w:name w:val="WW_CharLFO16LVL8"/>
    <w:qFormat/>
    <w:rPr>
      <w:rFonts w:ascii="OpenSymbol" w:hAnsi="OpenSymbol" w:eastAsia="OpenSymbol" w:cs="OpenSymbol"/>
    </w:rPr>
  </w:style>
  <w:style w:type="character" w:styleId="WWCharLFO16LVL9">
    <w:name w:val="WW_CharLFO16LVL9"/>
    <w:qFormat/>
    <w:rPr>
      <w:rFonts w:ascii="OpenSymbol" w:hAnsi="OpenSymbol" w:eastAsia="OpenSymbol" w:cs="OpenSymbol"/>
    </w:rPr>
  </w:style>
  <w:style w:type="character" w:styleId="WWCharLFO17LVL1">
    <w:name w:val="WW_CharLFO17LVL1"/>
    <w:qFormat/>
    <w:rPr>
      <w:rFonts w:ascii="OpenSymbol" w:hAnsi="OpenSymbol" w:eastAsia="OpenSymbol" w:cs="OpenSymbol"/>
    </w:rPr>
  </w:style>
  <w:style w:type="character" w:styleId="WWCharLFO17LVL2">
    <w:name w:val="WW_CharLFO17LVL2"/>
    <w:qFormat/>
    <w:rPr>
      <w:rFonts w:ascii="OpenSymbol" w:hAnsi="OpenSymbol" w:eastAsia="OpenSymbol" w:cs="OpenSymbol"/>
    </w:rPr>
  </w:style>
  <w:style w:type="character" w:styleId="WWCharLFO17LVL3">
    <w:name w:val="WW_CharLFO17LVL3"/>
    <w:qFormat/>
    <w:rPr>
      <w:rFonts w:ascii="OpenSymbol" w:hAnsi="OpenSymbol" w:eastAsia="OpenSymbol" w:cs="OpenSymbol"/>
    </w:rPr>
  </w:style>
  <w:style w:type="character" w:styleId="WWCharLFO17LVL4">
    <w:name w:val="WW_CharLFO17LVL4"/>
    <w:qFormat/>
    <w:rPr>
      <w:rFonts w:ascii="OpenSymbol" w:hAnsi="OpenSymbol" w:eastAsia="OpenSymbol" w:cs="OpenSymbol"/>
    </w:rPr>
  </w:style>
  <w:style w:type="character" w:styleId="WWCharLFO17LVL5">
    <w:name w:val="WW_CharLFO17LVL5"/>
    <w:qFormat/>
    <w:rPr>
      <w:rFonts w:ascii="OpenSymbol" w:hAnsi="OpenSymbol" w:eastAsia="OpenSymbol" w:cs="OpenSymbol"/>
    </w:rPr>
  </w:style>
  <w:style w:type="character" w:styleId="WWCharLFO17LVL6">
    <w:name w:val="WW_CharLFO17LVL6"/>
    <w:qFormat/>
    <w:rPr>
      <w:rFonts w:ascii="OpenSymbol" w:hAnsi="OpenSymbol" w:eastAsia="OpenSymbol" w:cs="OpenSymbol"/>
    </w:rPr>
  </w:style>
  <w:style w:type="character" w:styleId="WWCharLFO17LVL7">
    <w:name w:val="WW_CharLFO17LVL7"/>
    <w:qFormat/>
    <w:rPr>
      <w:rFonts w:ascii="OpenSymbol" w:hAnsi="OpenSymbol" w:eastAsia="OpenSymbol" w:cs="OpenSymbol"/>
    </w:rPr>
  </w:style>
  <w:style w:type="character" w:styleId="WWCharLFO17LVL8">
    <w:name w:val="WW_CharLFO17LVL8"/>
    <w:qFormat/>
    <w:rPr>
      <w:rFonts w:ascii="OpenSymbol" w:hAnsi="OpenSymbol" w:eastAsia="OpenSymbol" w:cs="OpenSymbol"/>
    </w:rPr>
  </w:style>
  <w:style w:type="character" w:styleId="WWCharLFO17LVL9">
    <w:name w:val="WW_CharLFO17LVL9"/>
    <w:qFormat/>
    <w:rPr>
      <w:rFonts w:ascii="OpenSymbol" w:hAnsi="OpenSymbol" w:eastAsia="OpenSymbol" w:cs="OpenSymbol"/>
    </w:rPr>
  </w:style>
  <w:style w:type="character" w:styleId="WWCharLFO18LVL1">
    <w:name w:val="WW_CharLFO18LVL1"/>
    <w:qFormat/>
    <w:rPr>
      <w:rFonts w:ascii="OpenSymbol" w:hAnsi="OpenSymbol" w:eastAsia="OpenSymbol" w:cs="OpenSymbol"/>
    </w:rPr>
  </w:style>
  <w:style w:type="character" w:styleId="WWCharLFO18LVL2">
    <w:name w:val="WW_CharLFO18LVL2"/>
    <w:qFormat/>
    <w:rPr>
      <w:rFonts w:ascii="OpenSymbol" w:hAnsi="OpenSymbol" w:eastAsia="OpenSymbol" w:cs="OpenSymbol"/>
    </w:rPr>
  </w:style>
  <w:style w:type="character" w:styleId="WWCharLFO18LVL3">
    <w:name w:val="WW_CharLFO18LVL3"/>
    <w:qFormat/>
    <w:rPr>
      <w:rFonts w:ascii="OpenSymbol" w:hAnsi="OpenSymbol" w:eastAsia="OpenSymbol" w:cs="OpenSymbol"/>
    </w:rPr>
  </w:style>
  <w:style w:type="character" w:styleId="WWCharLFO18LVL4">
    <w:name w:val="WW_CharLFO18LVL4"/>
    <w:qFormat/>
    <w:rPr>
      <w:rFonts w:ascii="OpenSymbol" w:hAnsi="OpenSymbol" w:eastAsia="OpenSymbol" w:cs="OpenSymbol"/>
    </w:rPr>
  </w:style>
  <w:style w:type="character" w:styleId="WWCharLFO18LVL5">
    <w:name w:val="WW_CharLFO18LVL5"/>
    <w:qFormat/>
    <w:rPr>
      <w:rFonts w:ascii="OpenSymbol" w:hAnsi="OpenSymbol" w:eastAsia="OpenSymbol" w:cs="OpenSymbol"/>
    </w:rPr>
  </w:style>
  <w:style w:type="character" w:styleId="WWCharLFO18LVL6">
    <w:name w:val="WW_CharLFO18LVL6"/>
    <w:qFormat/>
    <w:rPr>
      <w:rFonts w:ascii="OpenSymbol" w:hAnsi="OpenSymbol" w:eastAsia="OpenSymbol" w:cs="OpenSymbol"/>
    </w:rPr>
  </w:style>
  <w:style w:type="character" w:styleId="WWCharLFO18LVL7">
    <w:name w:val="WW_CharLFO18LVL7"/>
    <w:qFormat/>
    <w:rPr>
      <w:rFonts w:ascii="OpenSymbol" w:hAnsi="OpenSymbol" w:eastAsia="OpenSymbol" w:cs="OpenSymbol"/>
    </w:rPr>
  </w:style>
  <w:style w:type="character" w:styleId="WWCharLFO18LVL8">
    <w:name w:val="WW_CharLFO18LVL8"/>
    <w:qFormat/>
    <w:rPr>
      <w:rFonts w:ascii="OpenSymbol" w:hAnsi="OpenSymbol" w:eastAsia="OpenSymbol" w:cs="OpenSymbol"/>
    </w:rPr>
  </w:style>
  <w:style w:type="character" w:styleId="WWCharLFO18LVL9">
    <w:name w:val="WW_CharLFO18LVL9"/>
    <w:qFormat/>
    <w:rPr>
      <w:rFonts w:ascii="OpenSymbol" w:hAnsi="OpenSymbol" w:eastAsia="OpenSymbol" w:cs="OpenSymbol"/>
    </w:rPr>
  </w:style>
  <w:style w:type="character" w:styleId="WWCharLFO24LVL1">
    <w:name w:val="WW_CharLFO24LVL1"/>
    <w:qFormat/>
    <w:rPr>
      <w:b/>
      <w:bCs/>
    </w:rPr>
  </w:style>
  <w:style w:type="character" w:styleId="WWCharLFO26LVL1">
    <w:name w:val="WW_CharLFO26LVL1"/>
    <w:qFormat/>
    <w:rPr>
      <w:b/>
      <w:bCs/>
    </w:rPr>
  </w:style>
  <w:style w:type="paragraph" w:styleId="Nagwek1user">
    <w:name w:val="Nagłówek 1 (user)"/>
    <w:basedOn w:val="Nagwek"/>
    <w:next w:val="BodyText"/>
    <w:qFormat/>
    <w:pPr>
      <w:numPr>
        <w:ilvl w:val="0"/>
        <w:numId w:val="1"/>
      </w:numPr>
      <w:suppressAutoHyphens w:val="true"/>
      <w:outlineLvl w:val="0"/>
    </w:pPr>
    <w:rPr>
      <w:b/>
      <w:bCs/>
      <w:sz w:val="36"/>
      <w:szCs w:val="36"/>
    </w:rPr>
  </w:style>
  <w:style w:type="paragraph" w:styleId="Nagwek2user">
    <w:name w:val="Nagłówek 2 (user)"/>
    <w:basedOn w:val="Nagwek"/>
    <w:next w:val="BodyText"/>
    <w:qFormat/>
    <w:pPr>
      <w:numPr>
        <w:ilvl w:val="1"/>
        <w:numId w:val="1"/>
      </w:numPr>
      <w:suppressAutoHyphens w:val="true"/>
      <w:spacing w:before="200" w:after="0"/>
      <w:outlineLvl w:val="1"/>
    </w:pPr>
    <w:rPr>
      <w:b/>
      <w:bCs/>
      <w:sz w:val="32"/>
      <w:szCs w:val="32"/>
    </w:rPr>
  </w:style>
  <w:style w:type="paragraph" w:styleId="Nagwek3user">
    <w:name w:val="Nagłówek 3 (user)"/>
    <w:basedOn w:val="Nagwek"/>
    <w:next w:val="BodyText"/>
    <w:qFormat/>
    <w:pPr>
      <w:numPr>
        <w:ilvl w:val="2"/>
        <w:numId w:val="1"/>
      </w:numPr>
      <w:suppressAutoHyphens w:val="true"/>
      <w:spacing w:before="140" w:after="0"/>
      <w:outlineLvl w:val="2"/>
    </w:pPr>
    <w:rPr>
      <w:b/>
      <w:bCs/>
    </w:rPr>
  </w:style>
  <w:style w:type="paragraph" w:styleId="Normalny">
    <w:name w:val="Normalny"/>
    <w:qFormat/>
    <w:pPr>
      <w:keepNext w:val="false"/>
      <w:keepLines w:val="false"/>
      <w:pageBreakBefore w:val="false"/>
      <w:widowControl/>
      <w:pBdr/>
      <w:shd w:fill="auto" w:val="clear"/>
      <w:suppressAutoHyphens w:val="true"/>
      <w:kinsoku w:val="true"/>
      <w:overflowPunct w:val="true"/>
      <w:autoSpaceDE w:val="true"/>
      <w:bidi w:val="0"/>
      <w:snapToGrid w:val="true"/>
      <w:spacing w:lineRule="auto" w:line="240" w:before="0" w:after="0"/>
      <w:jc w:val="start"/>
    </w:pPr>
    <w:rPr>
      <w:rFonts w:ascii="Liberation Serif" w:hAnsi="Liberation Serif" w:eastAsia="NSimSun" w:cs="Lucida Sans"/>
      <w:b w:val="false"/>
      <w:bCs w:val="false"/>
      <w:i w:val="false"/>
      <w:iCs w:val="false"/>
      <w:caps w:val="false"/>
      <w:smallCaps w:val="false"/>
      <w:strike w:val="false"/>
      <w:dstrike w:val="false"/>
      <w:outline w:val="false"/>
      <w:emboss w:val="false"/>
      <w:imprint w:val="false"/>
      <w:color w:val="auto"/>
      <w:spacing w:val="0"/>
      <w:w w:val="100"/>
      <w:kern w:val="2"/>
      <w:position w:val="0"/>
      <w:sz w:val="24"/>
      <w:szCs w:val="24"/>
      <w:u w:val="none"/>
      <w:shd w:fill="auto" w:val="clear"/>
      <w:vertAlign w:val="baseline"/>
      <w:em w:val="none"/>
      <w:lang w:val="pl-PL" w:eastAsia="zh-CN" w:bidi="hi-IN"/>
    </w:rPr>
  </w:style>
  <w:style w:type="paragraph" w:styleId="Nagwek">
    <w:name w:val="Nagłówek"/>
    <w:basedOn w:val="Normal"/>
    <w:next w:val="BodyText"/>
    <w:qFormat/>
    <w:pPr>
      <w:keepNext w:val="true"/>
      <w:suppressAutoHyphens w:val="true"/>
      <w:spacing w:before="240" w:after="120"/>
    </w:pPr>
    <w:rPr>
      <w:rFonts w:ascii="Liberation Sans" w:hAnsi="Liberation Sans" w:eastAsia="Microsoft YaHei"/>
      <w:sz w:val="28"/>
      <w:szCs w:val="28"/>
    </w:rPr>
  </w:style>
  <w:style w:type="paragraph" w:styleId="BodyText">
    <w:name w:val="Body Text"/>
    <w:basedOn w:val="Normal"/>
    <w:pPr>
      <w:suppressAutoHyphens w:val="true"/>
      <w:spacing w:lineRule="auto" w:line="276" w:before="0" w:after="140"/>
    </w:pPr>
    <w:rPr/>
  </w:style>
  <w:style w:type="paragraph" w:styleId="Listauser">
    <w:name w:val="Lista (user)"/>
    <w:basedOn w:val="BodyText"/>
    <w:qFormat/>
    <w:pPr>
      <w:suppressAutoHyphens w:val="true"/>
    </w:pPr>
    <w:rPr/>
  </w:style>
  <w:style w:type="paragraph" w:styleId="Legenda">
    <w:name w:val="Legenda"/>
    <w:basedOn w:val="Normal"/>
    <w:qFormat/>
    <w:pPr>
      <w:suppressLineNumbers/>
      <w:suppressAutoHyphens w:val="true"/>
      <w:spacing w:before="120" w:after="120"/>
    </w:pPr>
    <w:rPr>
      <w:i/>
      <w:iCs/>
    </w:rPr>
  </w:style>
  <w:style w:type="paragraph" w:styleId="Indeks">
    <w:name w:val="Indeks"/>
    <w:basedOn w:val="Normal"/>
    <w:qFormat/>
    <w:pPr>
      <w:suppressLineNumbers/>
      <w:suppressAutoHyphens w:val="true"/>
    </w:pPr>
    <w:rPr/>
  </w:style>
  <w:style w:type="paragraph" w:styleId="lyt-darkblueLTUntertitel">
    <w:name w:val="lyt-darkblue~LT~Untertitel"/>
    <w:qFormat/>
    <w:pPr>
      <w:keepNext w:val="false"/>
      <w:keepLines w:val="false"/>
      <w:pageBreakBefore w:val="false"/>
      <w:widowControl/>
      <w:pBdr/>
      <w:shd w:fill="auto" w:val="clear"/>
      <w:suppressAutoHyphens w:val="true"/>
      <w:kinsoku w:val="true"/>
      <w:overflowPunct w:val="true"/>
      <w:autoSpaceDE w:val="false"/>
      <w:bidi w:val="0"/>
      <w:snapToGrid w:val="true"/>
      <w:spacing w:lineRule="auto" w:line="240" w:before="0" w:after="0"/>
      <w:ind w:hanging="340"/>
      <w:jc w:val="center"/>
    </w:pPr>
    <w:rPr>
      <w:rFonts w:ascii="Thorndale" w:hAnsi="Thorndale" w:eastAsia="Thorndale" w:cs="Thorndale"/>
      <w:b w:val="false"/>
      <w:bCs w:val="false"/>
      <w:i w:val="false"/>
      <w:iCs w:val="false"/>
      <w:caps w:val="false"/>
      <w:smallCaps w:val="false"/>
      <w:strike w:val="false"/>
      <w:dstrike w:val="false"/>
      <w:outline w:val="false"/>
      <w:emboss w:val="false"/>
      <w:imprint w:val="false"/>
      <w:color w:val="CCCCCC"/>
      <w:spacing w:val="0"/>
      <w:w w:val="100"/>
      <w:kern w:val="2"/>
      <w:position w:val="0"/>
      <w:sz w:val="48"/>
      <w:szCs w:val="48"/>
      <w:u w:val="none"/>
      <w:shd w:fill="auto" w:val="clear"/>
      <w:vertAlign w:val="baseline"/>
      <w:em w:val="none"/>
      <w:lang w:val="pl-PL" w:eastAsia="zh-CN" w:bidi="hi-IN"/>
    </w:rPr>
  </w:style>
  <w:style w:type="paragraph" w:styleId="Zawartotabeli">
    <w:name w:val="Zawartość tabeli"/>
    <w:basedOn w:val="Normal"/>
    <w:qFormat/>
    <w:pPr>
      <w:suppressAutoHyphens w:val="true"/>
    </w:pPr>
    <w:rPr/>
  </w:style>
  <w:style w:type="paragraph" w:styleId="Nagwektabeli">
    <w:name w:val="Nagłówek tabeli"/>
    <w:basedOn w:val="Zawartotabeli"/>
    <w:qFormat/>
    <w:pPr>
      <w:suppressLineNumbers/>
      <w:suppressAutoHyphens w:val="true"/>
      <w:jc w:val="center"/>
    </w:pPr>
    <w:rPr>
      <w:b/>
      <w:bCs/>
    </w:rPr>
  </w:style>
  <w:style w:type="paragraph" w:styleId="Default">
    <w:name w:val="Default"/>
    <w:qFormat/>
    <w:pPr>
      <w:keepNext w:val="false"/>
      <w:keepLines w:val="false"/>
      <w:pageBreakBefore w:val="false"/>
      <w:widowControl/>
      <w:pBdr/>
      <w:shd w:fill="auto" w:val="clear"/>
      <w:suppressAutoHyphens w:val="true"/>
      <w:kinsoku w:val="true"/>
      <w:overflowPunct w:val="true"/>
      <w:autoSpaceDE w:val="true"/>
      <w:bidi w:val="0"/>
      <w:snapToGrid w:val="true"/>
      <w:spacing w:lineRule="auto" w:line="240" w:before="0" w:after="0"/>
      <w:jc w:val="start"/>
    </w:pPr>
    <w:rPr>
      <w:rFonts w:ascii="Aptos" w:hAnsi="Aptos" w:eastAsia="Aptos" w:cs="Aptos"/>
      <w:b w:val="false"/>
      <w:bCs w:val="false"/>
      <w:i w:val="false"/>
      <w:iCs w:val="false"/>
      <w:caps w:val="false"/>
      <w:smallCaps w:val="false"/>
      <w:strike w:val="false"/>
      <w:dstrike w:val="false"/>
      <w:outline w:val="false"/>
      <w:emboss w:val="false"/>
      <w:imprint w:val="false"/>
      <w:color w:val="000000"/>
      <w:spacing w:val="0"/>
      <w:w w:val="100"/>
      <w:kern w:val="2"/>
      <w:position w:val="0"/>
      <w:sz w:val="24"/>
      <w:szCs w:val="24"/>
      <w:u w:val="none"/>
      <w:shd w:fill="auto" w:val="clear"/>
      <w:vertAlign w:val="baseline"/>
      <w:em w:val="none"/>
      <w:lang w:val="pl-PL" w:eastAsia="zh-CN" w:bidi="hi-IN"/>
    </w:rPr>
  </w:style>
  <w:style w:type="paragraph" w:styleId="Domylnie">
    <w:name w:val="Domy?lnie"/>
    <w:qFormat/>
    <w:pPr>
      <w:keepNext w:val="false"/>
      <w:keepLines w:val="false"/>
      <w:pageBreakBefore w:val="false"/>
      <w:widowControl/>
      <w:pBdr/>
      <w:shd w:fill="auto" w:val="clear"/>
      <w:suppressAutoHyphens w:val="true"/>
      <w:kinsoku w:val="true"/>
      <w:overflowPunct w:val="true"/>
      <w:autoSpaceDE w:val="true"/>
      <w:bidi w:val="0"/>
      <w:snapToGrid w:val="true"/>
      <w:spacing w:lineRule="atLeast" w:line="200" w:before="0" w:after="0"/>
      <w:jc w:val="start"/>
    </w:pPr>
    <w:rPr>
      <w:rFonts w:ascii="Mangal" w:hAnsi="Mangal" w:eastAsia="Mangal" w:cs="Mangal"/>
      <w:b w:val="false"/>
      <w:bCs w:val="false"/>
      <w:i w:val="false"/>
      <w:iCs w:val="false"/>
      <w:caps w:val="false"/>
      <w:smallCaps w:val="false"/>
      <w:strike w:val="false"/>
      <w:dstrike w:val="false"/>
      <w:outline w:val="false"/>
      <w:emboss w:val="false"/>
      <w:imprint w:val="false"/>
      <w:color w:val="auto"/>
      <w:spacing w:val="0"/>
      <w:w w:val="100"/>
      <w:kern w:val="2"/>
      <w:position w:val="0"/>
      <w:sz w:val="36"/>
      <w:szCs w:val="36"/>
      <w:u w:val="none"/>
      <w:shd w:fill="auto" w:val="clear"/>
      <w:vertAlign w:val="baseline"/>
      <w:em w:val="none"/>
      <w:lang w:val="pl-PL" w:eastAsia="zh-CN" w:bidi="hi-IN"/>
    </w:rPr>
  </w:style>
  <w:style w:type="paragraph" w:styleId="Tekstpodstawowywcity2">
    <w:name w:val="Tekst podstawowy wcięty 2"/>
    <w:basedOn w:val="Normal"/>
    <w:qFormat/>
    <w:pPr>
      <w:suppressAutoHyphens w:val="true"/>
      <w:spacing w:lineRule="auto" w:line="360"/>
      <w:ind w:firstLine="708"/>
      <w:jc w:val="both"/>
    </w:pPr>
    <w:rPr/>
  </w:style>
  <w:style w:type="paragraph" w:styleId="BodyTextIndent">
    <w:name w:val="Body Text Indent"/>
    <w:basedOn w:val="Normal"/>
    <w:pPr>
      <w:tabs>
        <w:tab w:val="clear" w:pos="709"/>
      </w:tabs>
      <w:suppressAutoHyphens w:val="true"/>
      <w:spacing w:lineRule="auto" w:line="360"/>
      <w:ind w:hanging="552" w:start="1260"/>
    </w:pPr>
    <w:rPr/>
  </w:style>
  <w:style w:type="paragraph" w:styleId="Gwkaistopka">
    <w:name w:val="Główka i stopka"/>
    <w:basedOn w:val="Normal"/>
    <w:qFormat/>
    <w:pPr>
      <w:suppressLineNumbers/>
      <w:tabs>
        <w:tab w:val="clear" w:pos="709"/>
        <w:tab w:val="center" w:pos="4819" w:leader="none"/>
        <w:tab w:val="right" w:pos="9638" w:leader="none"/>
      </w:tabs>
      <w:suppressAutoHyphens w:val="true"/>
    </w:pPr>
    <w:rPr/>
  </w:style>
  <w:style w:type="paragraph" w:styleId="Stopkauser">
    <w:name w:val="Stopka (user)"/>
    <w:basedOn w:val="Gwkaistopka"/>
    <w:qFormat/>
    <w:pPr>
      <w:suppressAutoHyphens w:val="true"/>
    </w:pPr>
    <w:rPr/>
  </w:style>
  <w:style w:type="paragraph" w:styleId="Footer">
    <w:name w:val="footer"/>
    <w:basedOn w:val="Gwkaistopka"/>
    <w:pPr>
      <w:suppressLineNumbers/>
    </w:pPr>
    <w:rPr/>
  </w:style>
  <w:style w:type="numbering" w:styleId="WW8Num14">
    <w:name w:val="WW8Num14"/>
    <w:qFormat/>
  </w:style>
  <w:style w:type="numbering" w:styleId="WW8Num15">
    <w:name w:val="WW8Num15"/>
    <w:qFormat/>
  </w:style>
  <w:style w:type="numbering" w:styleId="WW8Num10">
    <w:name w:val="WW8Num10"/>
    <w:qFormat/>
  </w:style>
  <w:style w:type="numbering" w:styleId="WW8Num11">
    <w:name w:val="WW8Num11"/>
    <w:qFormat/>
  </w:style>
  <w:style w:type="numbering" w:styleId="WW8Num9">
    <w:name w:val="WW8Num9"/>
    <w:qFormat/>
  </w:style>
  <w:style w:type="numbering" w:styleId="WW8Num3">
    <w:name w:val="WW8Num3"/>
    <w:qFormat/>
  </w:style>
  <w:style w:type="numbering" w:styleId="WW8Num2">
    <w:name w:val="WW8Num2"/>
    <w:qFormat/>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footer" Target="footer1.xml"/><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44</TotalTime>
  <Application>LibreOffice/25.8.5.2$Windows_X86_64 LibreOffice_project/9c8b85f387cc00a89945a79c9e6239f32e450ac2</Application>
  <AppVersion>15.0000</AppVersion>
  <Pages>41</Pages>
  <Words>9918</Words>
  <Characters>60895</Characters>
  <CharactersWithSpaces>71646</CharactersWithSpaces>
  <Paragraphs>884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2026-04-20T09:58:00Z</dcterms:created>
  <dc:creator>Leszek Szyma</dc:creator>
  <dc:description/>
  <dc:language>pl-PL</dc:language>
  <cp:lastModifiedBy/>
  <dcterms:modified xsi:type="dcterms:W3CDTF">2026-04-24T12:57:32Z</dcterms:modified>
  <cp:revision>7</cp:revision>
  <dc:subject/>
  <dc:title>SPRAWOZDANIE Z DZIAŁALNOŚCI                      GMINNEGO OŚRODKA POMOCY SPOŁECZNEJ                   W PORĄBCEZA ROK 2019</dc:title>
</cp:coreProperties>
</file>