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spacing w:lineRule="auto" w:line="36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Style w:val="Domylnaczcionkaakapitu"/>
          <w:rFonts w:ascii="Calibri" w:hAnsi="Calibri"/>
          <w:b/>
          <w:bCs/>
          <w:lang w:val="pl-PL"/>
        </w:rPr>
      </w:pPr>
      <w:r>
        <w:rPr/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2244725</wp:posOffset>
            </wp:positionH>
            <wp:positionV relativeFrom="paragraph">
              <wp:posOffset>23495</wp:posOffset>
            </wp:positionV>
            <wp:extent cx="1596390" cy="1673860"/>
            <wp:effectExtent l="0" t="0" r="0" b="0"/>
            <wp:wrapSquare wrapText="bothSides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sz w:val="30"/>
          <w:szCs w:val="30"/>
          <w:lang w:val="pl-PL"/>
        </w:rPr>
      </w:pPr>
      <w:r>
        <w:rPr>
          <w:rFonts w:ascii="Calibri" w:hAnsi="Calibri"/>
          <w:b/>
          <w:bCs/>
          <w:sz w:val="30"/>
          <w:szCs w:val="30"/>
          <w:lang w:val="pl-PL"/>
        </w:rPr>
        <w:t xml:space="preserve">Sprawozdanie z lokalnego programu przeciwdziałania </w:t>
      </w:r>
    </w:p>
    <w:p>
      <w:pPr>
        <w:pStyle w:val="Normal"/>
        <w:spacing w:lineRule="auto" w:line="360"/>
        <w:jc w:val="center"/>
        <w:rPr>
          <w:rFonts w:ascii="Calibri" w:hAnsi="Calibri"/>
          <w:b/>
          <w:bCs/>
          <w:sz w:val="30"/>
          <w:szCs w:val="30"/>
          <w:lang w:val="pl-PL"/>
        </w:rPr>
      </w:pPr>
      <w:r>
        <w:rPr>
          <w:rFonts w:ascii="Calibri" w:hAnsi="Calibri"/>
          <w:b/>
          <w:bCs/>
          <w:sz w:val="30"/>
          <w:szCs w:val="30"/>
          <w:lang w:val="pl-PL"/>
        </w:rPr>
        <w:t xml:space="preserve">zjawisku bezdomności na terenie miasta </w:t>
      </w:r>
    </w:p>
    <w:p>
      <w:pPr>
        <w:pStyle w:val="Normal"/>
        <w:spacing w:lineRule="auto" w:line="360"/>
        <w:jc w:val="center"/>
        <w:rPr/>
      </w:pPr>
      <w:r>
        <w:rPr>
          <w:rStyle w:val="Domylnaczcionkaakapitu"/>
          <w:rFonts w:ascii="Calibri" w:hAnsi="Calibri"/>
          <w:b/>
          <w:bCs/>
          <w:sz w:val="30"/>
          <w:szCs w:val="30"/>
          <w:lang w:val="pl-PL"/>
        </w:rPr>
        <w:t>Tomaszowa Mazowieckiego za 2025 rok</w:t>
      </w:r>
    </w:p>
    <w:p>
      <w:pPr>
        <w:pStyle w:val="Normal"/>
        <w:spacing w:lineRule="auto" w:line="36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spacing w:lineRule="auto" w:line="36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spacing w:lineRule="auto" w:line="36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center"/>
        <w:rPr/>
      </w:pPr>
      <w:r>
        <w:rPr>
          <w:rStyle w:val="Domylnaczcionkaakapitu"/>
          <w:rFonts w:cs="Calibri" w:ascii="Calibri" w:hAnsi="Calibri"/>
        </w:rPr>
        <w:t>Tomaszów Mazowiecki</w:t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Marzec 2026 rok</w:t>
      </w:r>
      <w:r>
        <w:br w:type="page"/>
      </w:r>
    </w:p>
    <w:p>
      <w:pPr>
        <w:pStyle w:val="Normalny"/>
        <w:suppressAutoHyphens w:val="true"/>
        <w:spacing w:lineRule="auto" w:line="360"/>
        <w:jc w:val="both"/>
        <w:rPr/>
      </w:pPr>
      <w:r>
        <w:rPr>
          <w:rStyle w:val="Domylnaczcionkaakapitu"/>
          <w:rFonts w:ascii="Calibri" w:hAnsi="Calibri"/>
          <w:lang w:val="pl-PL"/>
        </w:rPr>
        <w:tab/>
        <w:t xml:space="preserve">Miejski Ośrodek Pomocy Społecznej w Tomaszowie Mazowieckim prowadzi systematyczne działania mające na celu pomoc osobom i rodzinom przy regulowaniu zaległości czynszowych, </w:t>
        <w:br/>
        <w:t>a także bieżących opłat czynszowych. Aby zapobiec bezdomności Rada Miejska Tomaszowa Mazowieckiego podjęła Uchwałę Nr XXXV/310/208 z dnia 19.12.2008r., w której przyjęto ,,</w:t>
      </w:r>
      <w:r>
        <w:rPr>
          <w:rStyle w:val="Domylnaczcionkaakapitu"/>
          <w:rFonts w:ascii="Calibri" w:hAnsi="Calibri"/>
          <w:i/>
          <w:iCs/>
          <w:lang w:val="pl-PL"/>
        </w:rPr>
        <w:t>Lokalny program przeciwdziałania zjawisku bezdomności na terenie miasta Tomaszowa Mazowieckiego</w:t>
      </w:r>
      <w:r>
        <w:rPr>
          <w:rStyle w:val="Domylnaczcionkaakapitu"/>
          <w:rFonts w:ascii="Calibri" w:hAnsi="Calibri"/>
          <w:lang w:val="pl-PL"/>
        </w:rPr>
        <w:t>”.</w:t>
      </w:r>
    </w:p>
    <w:p>
      <w:pPr>
        <w:pStyle w:val="Normal"/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>Jest ona ściśle powiązana z Programem Rozwiązywania Problemu Bezdomności i Łagodzenia jej Skutków na lata 2021-2027.</w:t>
      </w:r>
    </w:p>
    <w:p>
      <w:pPr>
        <w:pStyle w:val="Normal"/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tabs>
          <w:tab w:val="clear" w:pos="708"/>
          <w:tab w:val="left" w:pos="620" w:leader="none"/>
        </w:tabs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ab/>
        <w:t xml:space="preserve">Realizując powyższy program pracownicy socjalni zawierali kontrakty socjalne </w:t>
        <w:br/>
        <w:t xml:space="preserve">z klientami Ośrodka, między innymi na spłatę zadłużenia w czynszu. Kontrakty socjalne były zawierane z osobami, które posiadały choć minimalne własne dochody i przy pomocy Ośrodka były w stanie regulować czynsz. Osoby z wysokim zadłużeniem w czynszu nieposiadające dochodu </w:t>
        <w:br/>
        <w:t xml:space="preserve">i możliwości spłaty zadłużenia w czynszu były motywowane przez pracowników socjalnych </w:t>
        <w:br/>
        <w:t>do podejmowania pracy i spłacania zadłużenia w czynszu w ratach.</w:t>
      </w:r>
    </w:p>
    <w:p>
      <w:pPr>
        <w:pStyle w:val="Normal"/>
        <w:tabs>
          <w:tab w:val="clear" w:pos="708"/>
          <w:tab w:val="left" w:pos="620" w:leader="none"/>
        </w:tabs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ab/>
        <w:t>W okresie styczeń – grudzień 2025 roku 5 osób zawarło kontrakty socjalne z pracownikami socjalnymi Miejskiego Ośrodka Pomocy Społecznej w Tomaszowie Mazowieckim na odpracowanie zaległości w czynszu.</w:t>
      </w:r>
    </w:p>
    <w:p>
      <w:pPr>
        <w:pStyle w:val="Normal"/>
        <w:spacing w:lineRule="auto" w:line="360"/>
        <w:ind w:firstLine="708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 xml:space="preserve">Natomiast Tomaszowskie Towarzystwo Budownictwa Społecznego w Tomaszowie Mazowieckim zawarło umowę na odpracowanie zaległości w opłatach czynszu  z 7 osobami </w:t>
        <w:br/>
        <w:t>bez kontraktu socjalnego.</w:t>
      </w:r>
    </w:p>
    <w:p>
      <w:pPr>
        <w:pStyle w:val="Normal"/>
        <w:spacing w:lineRule="auto" w:line="360"/>
        <w:ind w:firstLine="708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 xml:space="preserve">W podanym okresie rozwiązano umowy 3 osobom, które odpracowywały zadłużenie </w:t>
        <w:br/>
        <w:t>w formie świadczenia zastępczego.</w:t>
      </w:r>
    </w:p>
    <w:p>
      <w:pPr>
        <w:pStyle w:val="Normal"/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tabs>
          <w:tab w:val="clear" w:pos="708"/>
          <w:tab w:val="left" w:pos="620" w:leader="none"/>
        </w:tabs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ab/>
        <w:t>Miejski Ośrodek Pomocy Społecznej w/m udzielał również pomocy finansowej na spłatę zadłużenia w czynszu i opłaty związane z utrzymaniem mieszkania tj. opłacenie energii i gazu: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>
          <w:rStyle w:val="Domylnaczcionkaakapitu"/>
          <w:rFonts w:ascii="Calibri" w:hAnsi="Calibri"/>
          <w:lang w:val="pl-PL"/>
        </w:rPr>
        <w:t>pomoc na spłatę zadłużenia w czynszu – 1 (rodzina).</w:t>
      </w:r>
    </w:p>
    <w:p>
      <w:pPr>
        <w:pStyle w:val="Normal"/>
        <w:tabs>
          <w:tab w:val="clear" w:pos="708"/>
          <w:tab w:val="left" w:pos="850" w:leader="none"/>
        </w:tabs>
        <w:spacing w:lineRule="auto" w:line="360"/>
        <w:jc w:val="both"/>
        <w:rPr/>
      </w:pPr>
      <w:r>
        <w:rPr>
          <w:rStyle w:val="Domylnaczcionkaakapitu"/>
          <w:rFonts w:ascii="Calibri" w:hAnsi="Calibri"/>
          <w:lang w:val="pl-PL"/>
        </w:rPr>
        <w:t>Kwota udzielonej pomocy na spłatę zadłużenia w czynszu – 733,77 zł.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>
          <w:rStyle w:val="Domylnaczcionkaakapitu"/>
          <w:rFonts w:ascii="Calibri" w:hAnsi="Calibri"/>
          <w:lang w:val="pl-PL"/>
        </w:rPr>
        <w:t>pomoc na opłacenie energii elektrycznej – 13 osób (w tym: 10 osób samotnie gospodarujących i 3 rodziny).</w:t>
      </w:r>
    </w:p>
    <w:p>
      <w:pPr>
        <w:pStyle w:val="Normal"/>
        <w:tabs>
          <w:tab w:val="clear" w:pos="708"/>
          <w:tab w:val="left" w:pos="850" w:leader="none"/>
        </w:tabs>
        <w:spacing w:lineRule="auto" w:line="360"/>
        <w:jc w:val="both"/>
        <w:rPr/>
      </w:pPr>
      <w:r>
        <w:rPr>
          <w:rStyle w:val="Domylnaczcionkaakapitu"/>
          <w:rFonts w:ascii="Calibri" w:hAnsi="Calibri"/>
          <w:lang w:val="pl-PL"/>
        </w:rPr>
        <w:t>Kwota udzielonej pomocy na opłacenie energii elektrycznej – 4 670,27 zł.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  <w:t>pomoc na opłacenie rachunku za gaz – 1 osoba (osoba samotnie gospodarująca).</w:t>
      </w:r>
    </w:p>
    <w:p>
      <w:pPr>
        <w:pStyle w:val="Normal"/>
        <w:tabs>
          <w:tab w:val="clear" w:pos="708"/>
          <w:tab w:val="left" w:pos="850" w:leader="none"/>
        </w:tabs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ab/>
        <w:t>Kwota udzielonej pomocy na opłacenie rachunków za gaz – 350,00 zł.</w:t>
      </w:r>
    </w:p>
    <w:p>
      <w:pPr>
        <w:pStyle w:val="Normal"/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>Ponadto MOPS udzielał pomocy w formie dodatków mieszkaniowych.</w:t>
      </w:r>
    </w:p>
    <w:p>
      <w:pPr>
        <w:pStyle w:val="Normal"/>
        <w:spacing w:lineRule="auto" w:line="360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>Liczba osób, które otrzymały dodatek mieszkaniowy – 1089 osób (w tym: 455 osób samotnie gospodarujących i 634 rodziny).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b/>
          <w:bCs/>
          <w:lang w:val="pl-PL"/>
        </w:rPr>
        <w:t xml:space="preserve">Kwota udzielonej pomocy na dodatki mieszkaniowe – 3 250 324,01 zł </w:t>
      </w:r>
      <w:r>
        <w:rPr>
          <w:rStyle w:val="Domylnaczcionkaakapitu"/>
          <w:rFonts w:ascii="Calibri" w:hAnsi="Calibri"/>
          <w:lang w:val="pl-PL"/>
        </w:rPr>
        <w:t>(w tym: osoby samotnie gospodarujące – 929 978,58 zł, rodziny – 2 320 345,43 zł).</w:t>
      </w:r>
    </w:p>
    <w:p>
      <w:pPr>
        <w:pStyle w:val="Normal"/>
        <w:spacing w:lineRule="auto" w:line="360"/>
        <w:jc w:val="both"/>
        <w:rPr>
          <w:rFonts w:ascii="Calibri" w:hAnsi="Calibri"/>
          <w:b/>
          <w:bCs/>
          <w:lang w:val="pl-PL"/>
        </w:rPr>
      </w:pPr>
      <w:r>
        <w:rPr>
          <w:rFonts w:ascii="Calibri" w:hAnsi="Calibri"/>
          <w:b/>
          <w:bCs/>
          <w:lang w:val="pl-PL"/>
        </w:rPr>
        <w:t xml:space="preserve"> </w:t>
      </w:r>
    </w:p>
    <w:p>
      <w:pPr>
        <w:pStyle w:val="Normal"/>
        <w:spacing w:lineRule="auto" w:line="360"/>
        <w:jc w:val="end"/>
        <w:rPr/>
      </w:pPr>
      <w:r>
        <w:rPr>
          <w:rStyle w:val="Domylnaczcionkaakapitu"/>
          <w:rFonts w:ascii="Calibri" w:hAnsi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footerReference w:type="even" r:id="rId3"/>
      <w:footerReference w:type="default" r:id="rId4"/>
      <w:type w:val="nextPage"/>
      <w:pgSz w:w="11905" w:h="16837"/>
      <w:pgMar w:left="1134" w:right="1134" w:gutter="0" w:header="0" w:top="708" w:footer="708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auto"/>
    <w:pitch w:val="default"/>
  </w:font>
  <w:font w:name="Calibri">
    <w:charset w:val="ee" w:characterSet="windows-1250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user"/>
      <w:jc w:val="end"/>
      <w:rPr/>
    </w:pPr>
    <w:bookmarkStart w:id="0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user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82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18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154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9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226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262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98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334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3708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evenAndOddHeaders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Tahoma"/>
        <w:color w:val="000000"/>
        <w:kern w:val="2"/>
        <w:sz w:val="24"/>
        <w:szCs w:val="24"/>
        <w:lang w:val="en-US" w:eastAsia="en-US" w:bidi="en-US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en-US" w:eastAsia="en-US" w:bidi="en-US"/>
    </w:rPr>
  </w:style>
  <w:style w:type="character" w:styleId="Domylnaczcionkaakapitu">
    <w:name w:val="Domyślna czcionka akapitu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WCharLFO1LVL1">
    <w:name w:val="WW_CharLFO1LVL1"/>
    <w:qFormat/>
    <w:rPr>
      <w:rFonts w:ascii="OpenSymbol" w:hAnsi="OpenSymbol" w:eastAsia="OpenSymbol" w:cs="OpenSymbol"/>
    </w:rPr>
  </w:style>
  <w:style w:type="character" w:styleId="WWCharLFO1LVL2">
    <w:name w:val="WW_CharLFO1LVL2"/>
    <w:qFormat/>
    <w:rPr>
      <w:rFonts w:ascii="OpenSymbol" w:hAnsi="OpenSymbol" w:eastAsia="OpenSymbol" w:cs="OpenSymbol"/>
    </w:rPr>
  </w:style>
  <w:style w:type="character" w:styleId="WWCharLFO1LVL3">
    <w:name w:val="WW_CharLFO1LVL3"/>
    <w:qFormat/>
    <w:rPr>
      <w:rFonts w:ascii="OpenSymbol" w:hAnsi="OpenSymbol" w:eastAsia="OpenSymbol" w:cs="OpenSymbol"/>
    </w:rPr>
  </w:style>
  <w:style w:type="character" w:styleId="WWCharLFO1LVL4">
    <w:name w:val="WW_CharLFO1LVL4"/>
    <w:qFormat/>
    <w:rPr>
      <w:rFonts w:ascii="OpenSymbol" w:hAnsi="OpenSymbol" w:eastAsia="OpenSymbol" w:cs="OpenSymbol"/>
    </w:rPr>
  </w:style>
  <w:style w:type="character" w:styleId="WWCharLFO1LVL5">
    <w:name w:val="WW_CharLFO1LVL5"/>
    <w:qFormat/>
    <w:rPr>
      <w:rFonts w:ascii="OpenSymbol" w:hAnsi="OpenSymbol" w:eastAsia="OpenSymbol" w:cs="OpenSymbol"/>
    </w:rPr>
  </w:style>
  <w:style w:type="character" w:styleId="WWCharLFO1LVL6">
    <w:name w:val="WW_CharLFO1LVL6"/>
    <w:qFormat/>
    <w:rPr>
      <w:rFonts w:ascii="OpenSymbol" w:hAnsi="OpenSymbol" w:eastAsia="OpenSymbol" w:cs="OpenSymbol"/>
    </w:rPr>
  </w:style>
  <w:style w:type="character" w:styleId="WWCharLFO1LVL7">
    <w:name w:val="WW_CharLFO1LVL7"/>
    <w:qFormat/>
    <w:rPr>
      <w:rFonts w:ascii="OpenSymbol" w:hAnsi="OpenSymbol" w:eastAsia="OpenSymbol" w:cs="OpenSymbol"/>
    </w:rPr>
  </w:style>
  <w:style w:type="character" w:styleId="WWCharLFO1LVL8">
    <w:name w:val="WW_CharLFO1LVL8"/>
    <w:qFormat/>
    <w:rPr>
      <w:rFonts w:ascii="OpenSymbol" w:hAnsi="OpenSymbol" w:eastAsia="OpenSymbol" w:cs="OpenSymbol"/>
    </w:rPr>
  </w:style>
  <w:style w:type="character" w:styleId="WWCharLFO1LVL9">
    <w:name w:val="WW_CharLFO1LVL9"/>
    <w:qFormat/>
    <w:rPr>
      <w:rFonts w:ascii="OpenSymbol" w:hAnsi="OpenSymbol" w:eastAsia="OpenSymbol" w:cs="OpenSymbol"/>
    </w:rPr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en-US" w:eastAsia="en-US" w:bidi="en-US"/>
    </w:rPr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8" w:leader="none"/>
        <w:tab w:val="right" w:pos="9637" w:leader="none"/>
      </w:tabs>
      <w:suppressAutoHyphens w:val="true"/>
    </w:pPr>
    <w:rPr/>
  </w:style>
  <w:style w:type="paragraph" w:styleId="Stopkauser">
    <w:name w:val="Stopka (user)"/>
    <w:basedOn w:val="Gwkaistopka"/>
    <w:qFormat/>
    <w:pPr>
      <w:suppressAutoHyphens w:val="true"/>
    </w:pPr>
    <w:rPr/>
  </w:style>
  <w:style w:type="paragraph" w:styleId="Footer">
    <w:name w:val="footer"/>
    <w:basedOn w:val="Gwkaistopka"/>
    <w:pPr>
      <w:suppressLineNumbers/>
      <w:tabs>
        <w:tab w:val="clear" w:pos="4818"/>
        <w:tab w:val="clear" w:pos="9637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LibreOffice/25.8.5.2$Windows_X86_64 LibreOffice_project/9c8b85f387cc00a89945a79c9e6239f32e450ac2</Application>
  <AppVersion>15.0000</AppVersion>
  <Pages>3</Pages>
  <Words>486</Words>
  <Characters>2922</Characters>
  <CharactersWithSpaces>3402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2026-03-11T11:18:00Z</dcterms:created>
  <dc:creator>Łukasz ŁM. Michalczyk</dc:creator>
  <dc:description/>
  <dc:language>pl-PL</dc:language>
  <cp:lastModifiedBy>Łukasz ŁM. Michalczyk</cp:lastModifiedBy>
  <cp:lastPrinted>2026-03-05T11:09:00Z</cp:lastPrinted>
  <dcterms:modified xsi:type="dcterms:W3CDTF">2026-03-11T11:23:00Z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