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charts/chart1.xml" ContentType="application/vnd.openxmlformats-officedocument.drawingml.chart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1user"/>
        <w:tabs>
          <w:tab w:val="clear" w:pos="709"/>
          <w:tab w:val="left" w:pos="0" w:leader="none"/>
        </w:tabs>
        <w:spacing w:before="240" w:after="120"/>
        <w:ind w:hanging="0" w:start="0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agwek1user"/>
        <w:tabs>
          <w:tab w:val="clear" w:pos="709"/>
          <w:tab w:val="left" w:pos="0" w:leader="none"/>
        </w:tabs>
        <w:ind w:hanging="0" w:start="0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BodyText"/>
        <w:spacing w:before="240" w:after="120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BodyText"/>
        <w:spacing w:before="240" w:after="120"/>
        <w:rPr>
          <w:rStyle w:val="Domylnaczcionkaakapitu"/>
          <w:sz w:val="40"/>
          <w:szCs w:val="40"/>
        </w:rPr>
      </w:pPr>
      <w:r>
        <w:rPr/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2162175</wp:posOffset>
            </wp:positionH>
            <wp:positionV relativeFrom="paragraph">
              <wp:posOffset>258445</wp:posOffset>
            </wp:positionV>
            <wp:extent cx="1596390" cy="1673860"/>
            <wp:effectExtent l="0" t="0" r="0" b="0"/>
            <wp:wrapTopAndBottom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7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spacing w:before="240" w:after="120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agwek1user"/>
        <w:tabs>
          <w:tab w:val="clear" w:pos="709"/>
          <w:tab w:val="left" w:pos="0" w:leader="none"/>
        </w:tabs>
        <w:spacing w:lineRule="auto" w:line="360"/>
        <w:ind w:hanging="0" w:start="0"/>
        <w:jc w:val="center"/>
        <w:rPr/>
      </w:pPr>
      <w:r>
        <w:rPr>
          <w:rStyle w:val="Domylnaczcionkaakapitu"/>
          <w:sz w:val="40"/>
          <w:szCs w:val="40"/>
        </w:rPr>
        <w:t xml:space="preserve">Sprawozdanie za rok 2025 z realizacji </w:t>
        <w:br/>
        <w:t xml:space="preserve">„Miejskiego Programu Wspierania Rodziny” </w:t>
        <w:br/>
        <w:t>na lata 2025-2027</w:t>
      </w:r>
    </w:p>
    <w:p>
      <w:pPr>
        <w:pStyle w:val="Nagwek1user"/>
        <w:tabs>
          <w:tab w:val="clear" w:pos="709"/>
          <w:tab w:val="left" w:pos="0" w:leader="none"/>
        </w:tabs>
        <w:spacing w:lineRule="auto" w:line="360"/>
        <w:ind w:hanging="0" w:start="0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BodyText"/>
        <w:spacing w:lineRule="auto" w:line="36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BodyText"/>
        <w:spacing w:lineRule="auto" w:line="36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BodyText"/>
        <w:spacing w:lineRule="auto" w:line="36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BodyText"/>
        <w:spacing w:lineRule="auto" w:line="36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BodyText"/>
        <w:spacing w:lineRule="auto" w:line="36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lineRule="auto" w:line="360"/>
        <w:jc w:val="center"/>
        <w:rPr>
          <w:rFonts w:ascii="Calibri" w:hAnsi="Calibri" w:cs="Calibri"/>
        </w:rPr>
      </w:pPr>
      <w:r>
        <w:rPr>
          <w:rFonts w:cs="Calibri" w:ascii="Calibri" w:hAnsi="Calibri"/>
        </w:rPr>
        <w:t>Tomaszów Mazowiecki</w:t>
      </w:r>
    </w:p>
    <w:p>
      <w:pPr>
        <w:pStyle w:val="Normal"/>
        <w:spacing w:lineRule="auto" w:line="360"/>
        <w:jc w:val="center"/>
        <w:rPr>
          <w:rFonts w:ascii="Calibri" w:hAnsi="Calibri" w:cs="Calibri"/>
        </w:rPr>
      </w:pPr>
      <w:r>
        <w:rPr>
          <w:rFonts w:cs="Calibri" w:ascii="Calibri" w:hAnsi="Calibri"/>
        </w:rPr>
        <w:t>Marzec 2026 rok</w:t>
      </w:r>
      <w:r>
        <w:br w:type="page"/>
      </w:r>
    </w:p>
    <w:p>
      <w:pPr>
        <w:pStyle w:val="Nagwek1user"/>
        <w:tabs>
          <w:tab w:val="clear" w:pos="709"/>
          <w:tab w:val="left" w:pos="0" w:leader="none"/>
        </w:tabs>
        <w:spacing w:lineRule="auto" w:line="360" w:before="0" w:after="0"/>
        <w:ind w:hanging="0" w:start="0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agwek1user"/>
        <w:tabs>
          <w:tab w:val="clear" w:pos="709"/>
          <w:tab w:val="left" w:pos="0" w:leader="none"/>
        </w:tabs>
        <w:spacing w:lineRule="auto" w:line="360" w:before="0" w:after="0"/>
        <w:ind w:firstLine="567" w:start="0"/>
        <w:jc w:val="both"/>
        <w:rPr/>
      </w:pPr>
      <w:r>
        <w:rPr>
          <w:rStyle w:val="Domylnaczcionkaakapitu"/>
          <w:b w:val="false"/>
          <w:bCs w:val="false"/>
        </w:rPr>
        <w:t xml:space="preserve">Miejski Program Wspierania Rodziny na lata 2025-2027 został przyjęty uchwałą </w:t>
        <w:br/>
        <w:t>NR XVII/124/2025 Rady Miejskiej Tomaszowa Mazowieckiego z dnia 25 marca 2025r.</w:t>
      </w:r>
    </w:p>
    <w:p>
      <w:pPr>
        <w:pStyle w:val="BodyText"/>
        <w:spacing w:lineRule="auto" w:line="360" w:before="0" w:after="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Celem głównym Programu jest „Profesjonalizacja i integracja działań wspomagających</w:t>
        <w:br/>
        <w:t>i profilaktycznych w systemie wsparcia rodzin w pełnieniu funkcji opiekuńczo-wychowawczej”.</w:t>
      </w:r>
    </w:p>
    <w:p>
      <w:pPr>
        <w:pStyle w:val="BodyText"/>
        <w:spacing w:lineRule="auto" w:line="360" w:before="0" w:after="0"/>
        <w:ind w:firstLine="709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Miejski Program Wspierania Rodziny skierowany jest do rodzin z terenu miasta Tomaszowa Mazowieckiego. Szczególną grupę adresatów Programu stanowią rodziny doświadczające trudności w wypełnianiu funkcji opiekuńczo – wychowawczych.</w:t>
      </w:r>
    </w:p>
    <w:p>
      <w:pPr>
        <w:pStyle w:val="BodyText"/>
        <w:spacing w:lineRule="auto" w:line="360" w:before="0" w:after="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Głównym realizatorem i koordynatorem Miejskiego Programu Wspierania Rodziny na lata 2025-2027 jest Miejski Ośrodek Pomocy Społecznej w Tomaszowie Mazowieckim w partnerstwie</w:t>
        <w:br/>
        <w:t>z instytucjami samorządowymi, organizacjami pozarządowymi i innymi podmiotami realizującymi zadania w zakresie wspierania rodziny na terenie miasta.</w:t>
      </w:r>
    </w:p>
    <w:p>
      <w:pPr>
        <w:pStyle w:val="Nagwek1user"/>
        <w:tabs>
          <w:tab w:val="clear" w:pos="709"/>
          <w:tab w:val="left" w:pos="0" w:leader="none"/>
        </w:tabs>
        <w:spacing w:lineRule="auto" w:line="276" w:before="0" w:after="0"/>
        <w:ind w:hanging="0" w:start="0"/>
        <w:rPr/>
      </w:pPr>
      <w:r>
        <w:rPr/>
      </w:r>
    </w:p>
    <w:p>
      <w:pPr>
        <w:pStyle w:val="Nagwek1user"/>
        <w:tabs>
          <w:tab w:val="clear" w:pos="709"/>
          <w:tab w:val="left" w:pos="0" w:leader="none"/>
        </w:tabs>
        <w:spacing w:lineRule="auto" w:line="276" w:before="0" w:after="0"/>
        <w:ind w:hanging="0" w:start="0"/>
        <w:rPr/>
      </w:pPr>
      <w:r>
        <w:rPr/>
        <w:t>CEL I.</w:t>
        <w:br/>
        <w:t>System wsparcia materialnego: zabezpieczenie podstawowych potrzeb rodzin zagrożonych lub będących w kryzysie.</w:t>
      </w:r>
    </w:p>
    <w:p>
      <w:pPr>
        <w:pStyle w:val="BodyText"/>
        <w:spacing w:lineRule="auto" w:line="276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  <w:t>Cel pierwszy realizowany był poprzez podejmowanie następujących zadań:</w:t>
      </w:r>
    </w:p>
    <w:p>
      <w:pPr>
        <w:pStyle w:val="BodyText"/>
        <w:numPr>
          <w:ilvl w:val="0"/>
          <w:numId w:val="2"/>
        </w:numPr>
        <w:spacing w:lineRule="auto" w:line="276"/>
        <w:rPr>
          <w:rFonts w:ascii="Calibri" w:hAnsi="Calibri" w:cs="Calibri"/>
        </w:rPr>
      </w:pPr>
      <w:r>
        <w:rPr>
          <w:rFonts w:cs="Calibri" w:ascii="Calibri" w:hAnsi="Calibri"/>
        </w:rPr>
        <w:t>zapewnienie rodzinom wsparcia w formie świadczeń pieniężnych;</w:t>
      </w:r>
    </w:p>
    <w:p>
      <w:pPr>
        <w:pStyle w:val="BodyText"/>
        <w:numPr>
          <w:ilvl w:val="0"/>
          <w:numId w:val="3"/>
        </w:numPr>
        <w:spacing w:lineRule="auto" w:line="276"/>
        <w:rPr>
          <w:rFonts w:ascii="Calibri" w:hAnsi="Calibri" w:cs="Calibri"/>
        </w:rPr>
      </w:pPr>
      <w:r>
        <w:rPr>
          <w:rFonts w:cs="Calibri" w:ascii="Calibri" w:hAnsi="Calibri"/>
        </w:rPr>
        <w:t>zapewnienie rodzinom pomocy rzeczowej;</w:t>
      </w:r>
    </w:p>
    <w:p>
      <w:pPr>
        <w:pStyle w:val="BodyText"/>
        <w:numPr>
          <w:ilvl w:val="0"/>
          <w:numId w:val="3"/>
        </w:numPr>
        <w:spacing w:lineRule="auto" w:line="276"/>
        <w:rPr>
          <w:rFonts w:ascii="Calibri" w:hAnsi="Calibri" w:cs="Calibri"/>
        </w:rPr>
      </w:pPr>
      <w:r>
        <w:rPr>
          <w:rFonts w:cs="Calibri" w:ascii="Calibri" w:hAnsi="Calibri"/>
        </w:rPr>
        <w:t>zapewnienie dożywiania dzieciom w przedszkolach i szkołach;</w:t>
      </w:r>
    </w:p>
    <w:p>
      <w:pPr>
        <w:pStyle w:val="BodyText"/>
        <w:numPr>
          <w:ilvl w:val="0"/>
          <w:numId w:val="3"/>
        </w:numPr>
        <w:spacing w:lineRule="auto" w:line="276"/>
        <w:rPr>
          <w:rFonts w:ascii="Calibri" w:hAnsi="Calibri" w:cs="Calibri"/>
        </w:rPr>
      </w:pPr>
      <w:r>
        <w:rPr>
          <w:rFonts w:cs="Calibri" w:ascii="Calibri" w:hAnsi="Calibri"/>
        </w:rPr>
        <w:t>motywowanie do podnoszenia kwalifikacji i podejmowania pracy zarobkowej;</w:t>
      </w:r>
    </w:p>
    <w:p>
      <w:pPr>
        <w:pStyle w:val="BodyText"/>
        <w:numPr>
          <w:ilvl w:val="0"/>
          <w:numId w:val="3"/>
        </w:numPr>
        <w:spacing w:lineRule="auto" w:line="276"/>
        <w:rPr/>
      </w:pPr>
      <w:r>
        <w:rPr>
          <w:rStyle w:val="Domylnaczcionkaakapitu"/>
          <w:rFonts w:cs="Calibri" w:ascii="Calibri" w:hAnsi="Calibri"/>
        </w:rPr>
        <w:t>zapewnienie schronienia w formie mieszkania treningowego.</w:t>
      </w:r>
      <w:r>
        <w:rPr>
          <w:rStyle w:val="Domylnaczcionkaakapitu"/>
          <w:rFonts w:cs="Calibri" w:ascii="Calibri" w:hAnsi="Calibri"/>
          <w:b/>
          <w:bCs/>
        </w:rPr>
        <w:br/>
      </w:r>
    </w:p>
    <w:p>
      <w:pPr>
        <w:pStyle w:val="BodyText"/>
        <w:spacing w:lineRule="auto" w:line="276" w:before="0" w:after="0"/>
        <w:jc w:val="both"/>
        <w:rPr/>
      </w:pPr>
      <w:r>
        <w:rPr>
          <w:rStyle w:val="Domylnaczcionkaakapitu"/>
          <w:rFonts w:cs="Calibri" w:ascii="Calibri" w:hAnsi="Calibri"/>
          <w:b/>
          <w:bCs/>
        </w:rPr>
        <w:t>Tabela nr 1.</w:t>
      </w:r>
    </w:p>
    <w:p>
      <w:pPr>
        <w:pStyle w:val="BodyText"/>
        <w:spacing w:lineRule="auto" w:line="276" w:before="0" w:after="0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  <w:t>Zapewnienie rodzinom wsparcia materialnego i dożywiania dzieci</w:t>
      </w:r>
    </w:p>
    <w:p>
      <w:pPr>
        <w:pStyle w:val="BodyText"/>
        <w:spacing w:lineRule="auto" w:line="276" w:before="0" w:after="0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tbl>
      <w:tblPr>
        <w:tblW w:w="9650" w:type="dxa"/>
        <w:jc w:val="start"/>
        <w:tblInd w:w="-2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30"/>
        <w:gridCol w:w="6460"/>
        <w:gridCol w:w="2560"/>
      </w:tblGrid>
      <w:tr>
        <w:trPr/>
        <w:tc>
          <w:tcPr>
            <w:tcW w:w="63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Lp.</w:t>
            </w:r>
          </w:p>
        </w:tc>
        <w:tc>
          <w:tcPr>
            <w:tcW w:w="646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Rodzaj pomocy</w:t>
            </w:r>
          </w:p>
        </w:tc>
        <w:tc>
          <w:tcPr>
            <w:tcW w:w="256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liczba rodzin,</w:t>
            </w:r>
          </w:p>
          <w:p>
            <w:pPr>
              <w:pStyle w:val="Zawartotabeli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którym udzielono pomocy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Zasiłki celowe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316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2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Zasiłki okresowe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405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3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Dożywianie dzieci w szkołach i przedszkolach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355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4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Dodatek mieszkaniowy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421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5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Stypendium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123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6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Zasiłek szkolny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4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7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Świadczenia rodzinne – liczba rodzin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2722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8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- świadczenie pielęgnacyjne na starych zasadach obowiązujących do 31.12.2023r. - liczba świadczeń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4 050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9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- zasiłki rodzinne oraz dodatki do zasiłku rodzinnego - liczba świadczeń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22 249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10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- świadczenia za życiem - liczba świadczeń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5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11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- świadczenie rodzicielskie - liczba świadczeń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838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12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- zasiłek pielęgnacyjny - liczba świadczeń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29 018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13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- jednorazowa zapomoga z tytułu urodzenia dziecka (becikowe)             - liczba świadczeń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123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14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- świadczenie alimentacyjne - liczba świadczeń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4 438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15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- nowe świadczenia pielęgnacyjne na zasadach obowiązujących od 01.01.2024r.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2 148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16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Świadczenie wychowawcze ( ZUS )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10 001</w:t>
            </w:r>
          </w:p>
        </w:tc>
      </w:tr>
      <w:tr>
        <w:trPr/>
        <w:tc>
          <w:tcPr>
            <w:tcW w:w="63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17</w:t>
            </w:r>
          </w:p>
        </w:tc>
        <w:tc>
          <w:tcPr>
            <w:tcW w:w="6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Dobry Start ( ZUS )</w:t>
            </w:r>
          </w:p>
        </w:tc>
        <w:tc>
          <w:tcPr>
            <w:tcW w:w="256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6 900</w:t>
            </w:r>
          </w:p>
        </w:tc>
      </w:tr>
    </w:tbl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p>
      <w:pPr>
        <w:pStyle w:val="Normal"/>
        <w:jc w:val="both"/>
        <w:rPr/>
      </w:pPr>
      <w:r>
        <w:rPr>
          <w:rStyle w:val="Domylnaczcionkaakapitu"/>
          <w:rFonts w:cs="Calibri" w:ascii="Calibri" w:hAnsi="Calibri"/>
          <w:b/>
          <w:bCs/>
          <w:sz w:val="22"/>
          <w:szCs w:val="22"/>
        </w:rPr>
      </w:r>
      <w:r>
        <w:rPr>
          <w:rStyle w:val="Domylnaczcionkaakapitu"/>
          <w:rFonts w:cs="Calibri" w:ascii="Calibri" w:hAnsi="Calibri"/>
          <w:b/>
          <w:bCs/>
          <w:sz w:val="22"/>
          <w:szCs w:val="22"/>
        </w:rPr>
        <w:drawing>
          <wp:anchor distT="0" distB="0" distL="0" distR="0" simplePos="0" relativeHeight="3" behindDoc="0" locked="0" layoutInCell="0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307455" cy="4287520"/>
            <wp:effectExtent l="0" t="0" r="0" b="0"/>
            <wp:wrapTopAndBottom/>
            <wp:docPr id="2" name="Obiekt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"/>
              </a:graphicData>
            </a:graphic>
          </wp:anchor>
        </w:drawing>
        <w:t>Rodzaj pomocy</w:t>
      </w:r>
    </w:p>
    <w:p>
      <w:pPr>
        <w:pStyle w:val="Normal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p>
      <w:pPr>
        <w:pStyle w:val="Normal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p>
      <w:pPr>
        <w:pStyle w:val="Normal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p>
      <w:pPr>
        <w:pStyle w:val="Normal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p>
      <w:pPr>
        <w:pStyle w:val="Normal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p>
      <w:pPr>
        <w:pStyle w:val="Normal"/>
        <w:jc w:val="end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b/>
          <w:bCs/>
          <w:sz w:val="22"/>
          <w:szCs w:val="22"/>
        </w:rPr>
        <w:t>Tabela nr 2.</w:t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2"/>
          <w:szCs w:val="22"/>
        </w:rPr>
        <w:t>Pomoc rzeczowa</w:t>
        <w:br/>
      </w:r>
    </w:p>
    <w:tbl>
      <w:tblPr>
        <w:tblW w:w="9638" w:type="dxa"/>
        <w:jc w:val="start"/>
        <w:tblInd w:w="-2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3212"/>
        <w:gridCol w:w="3213"/>
        <w:gridCol w:w="3213"/>
      </w:tblGrid>
      <w:tr>
        <w:trPr/>
        <w:tc>
          <w:tcPr>
            <w:tcW w:w="321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Fundacja „Arka nadziei”</w:t>
            </w:r>
          </w:p>
        </w:tc>
        <w:tc>
          <w:tcPr>
            <w:tcW w:w="321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żywność</w:t>
            </w:r>
          </w:p>
        </w:tc>
        <w:tc>
          <w:tcPr>
            <w:tcW w:w="321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62 rodzin</w:t>
            </w:r>
          </w:p>
        </w:tc>
      </w:tr>
      <w:tr>
        <w:trPr/>
        <w:tc>
          <w:tcPr>
            <w:tcW w:w="321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Organizacje pozarządowe PCK</w:t>
            </w:r>
          </w:p>
        </w:tc>
        <w:tc>
          <w:tcPr>
            <w:tcW w:w="321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odzież</w:t>
            </w:r>
          </w:p>
        </w:tc>
        <w:tc>
          <w:tcPr>
            <w:tcW w:w="321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62 rodzin</w:t>
            </w:r>
          </w:p>
        </w:tc>
      </w:tr>
    </w:tbl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Podejmowano również działania aktywizujące zawodowo i społecznie członków rodzin zagrożonych wykluczeniem społecznym poprzez wykonywanie prac społecznie użytecznych.</w:t>
      </w:r>
    </w:p>
    <w:p>
      <w:pPr>
        <w:pStyle w:val="Normal"/>
        <w:spacing w:lineRule="auto" w:line="360" w:before="57" w:after="57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W roku 2025 podpisało kontrakty socjalne na wykonywanie prac społecznie użytecznych 57  osób.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Ośrodek zabezpieczał również tymczasową pomoc w formie mieszkań treningowych rodzinom dotkniętym przemocą oraz znajdującym się przejściowo w trudnej sytuacji życiowej.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</w:rPr>
        <w:t>W</w:t>
      </w:r>
      <w:r>
        <w:rPr>
          <w:rStyle w:val="Domylnaczcionkaakapitu"/>
          <w:rFonts w:cs="Calibri" w:ascii="Calibri" w:hAnsi="Calibri"/>
          <w:b/>
          <w:bCs/>
        </w:rPr>
        <w:t xml:space="preserve"> roku 2025</w:t>
      </w:r>
      <w:r>
        <w:rPr>
          <w:rStyle w:val="Domylnaczcionkaakapitu"/>
          <w:rFonts w:cs="Calibri" w:ascii="Calibri" w:hAnsi="Calibri"/>
        </w:rPr>
        <w:t xml:space="preserve"> funkcjonowało</w:t>
      </w:r>
      <w:r>
        <w:rPr>
          <w:rStyle w:val="Domylnaczcionkaakapitu"/>
          <w:rFonts w:cs="Calibri" w:ascii="Calibri" w:hAnsi="Calibri"/>
          <w:b/>
          <w:bCs/>
        </w:rPr>
        <w:t xml:space="preserve"> 5 mieszkań treningowych </w:t>
      </w:r>
      <w:r>
        <w:rPr>
          <w:rStyle w:val="Domylnaczcionkaakapitu"/>
          <w:rFonts w:cs="Calibri" w:ascii="Calibri" w:hAnsi="Calibri"/>
        </w:rPr>
        <w:t>przy ul. Jerozolimskiej, Szerokiej, Warszawskiej, Legionów i Wschodniej.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</w:rPr>
        <w:tab/>
        <w:t>W mieszkaniach tych przebywało</w:t>
      </w:r>
      <w:r>
        <w:rPr>
          <w:rStyle w:val="Domylnaczcionkaakapitu"/>
          <w:rFonts w:cs="Calibri" w:ascii="Calibri" w:hAnsi="Calibri"/>
          <w:b/>
          <w:bCs/>
        </w:rPr>
        <w:t xml:space="preserve"> 7 rodzin, w tym 11 dzieci</w:t>
      </w:r>
      <w:r>
        <w:rPr>
          <w:rStyle w:val="Domylnaczcionkaakapitu"/>
          <w:rFonts w:cs="Calibri" w:ascii="Calibri" w:hAnsi="Calibri"/>
        </w:rPr>
        <w:t>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Ośrodek nie ponosił opłat za czynsz, jedynie należności wynikające z zawartych umów dotyczących opłat za media z Zakładem Energetycznym oraz Tomaszowskim Towarzystwem Budownictwa Społecznego tj. za energię elektryczną, śmieci, wodę.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W ramach pobytu podopieczni realizowali plan usamodzielnienia, który akceptowali własnoręcznym podpisem.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Indywidualny plan usamodzielnienia miał na celu działania zmierzające do osiągnięcia pełnego usamodzielnienia całej rodziny, wskazówki postępowania oraz realizacji kolejnych etapów uniezależnienia od pomocy społecznej.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Rodziny, których dochód nie przekraczał progu kryterium dochodowego tj. kwoty 823,00 zł na osobę w rodzinie, określonego w ustawie o pomocy społecznej, nie ponosiły żadnej odpłatności za eksploatację mieszkania treningowego.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</w:rPr>
        <w:t>W sytuacjach, kiedy dochód rodziny przekroczył próg kryterium dochodowego,  Miejski Ośrodek Pomocy Społecznej naliczał odpłatność za użytkowanie mieszkania treningowe zgodnie z uchwałą Nr XCI/709/2024 Rady Miejskiej Tomaszowa Mazowieckiego z dnia 25 kwietnia 2024r.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Przeciętny okres pobytu w mieszkaniu treningowym wynosi 2 lata.</w:t>
      </w:r>
      <w:r>
        <w:br w:type="page"/>
      </w:r>
    </w:p>
    <w:p>
      <w:pPr>
        <w:pStyle w:val="Normalny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Tabela nr 3.</w:t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Odpłatność za pobyt w mieszkaniu treningowym.</w:t>
      </w:r>
    </w:p>
    <w:tbl>
      <w:tblPr>
        <w:tblW w:w="9588" w:type="dxa"/>
        <w:jc w:val="start"/>
        <w:tblInd w:w="52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4650"/>
        <w:gridCol w:w="4938"/>
      </w:tblGrid>
      <w:tr>
        <w:trPr/>
        <w:tc>
          <w:tcPr>
            <w:tcW w:w="465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0%</w:t>
            </w:r>
          </w:p>
        </w:tc>
        <w:tc>
          <w:tcPr>
            <w:tcW w:w="4938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4 rodziny</w:t>
            </w:r>
          </w:p>
        </w:tc>
      </w:tr>
      <w:tr>
        <w:trPr/>
        <w:tc>
          <w:tcPr>
            <w:tcW w:w="465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25%</w:t>
            </w:r>
          </w:p>
        </w:tc>
        <w:tc>
          <w:tcPr>
            <w:tcW w:w="493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 rodzina</w:t>
            </w:r>
          </w:p>
        </w:tc>
      </w:tr>
      <w:tr>
        <w:trPr>
          <w:trHeight w:val="348" w:hRule="atLeast"/>
        </w:trPr>
        <w:tc>
          <w:tcPr>
            <w:tcW w:w="465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50%</w:t>
            </w:r>
          </w:p>
        </w:tc>
        <w:tc>
          <w:tcPr>
            <w:tcW w:w="493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 rodzina</w:t>
            </w:r>
          </w:p>
        </w:tc>
      </w:tr>
      <w:tr>
        <w:trPr>
          <w:trHeight w:val="349" w:hRule="atLeast"/>
        </w:trPr>
        <w:tc>
          <w:tcPr>
            <w:tcW w:w="465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75 %</w:t>
            </w:r>
          </w:p>
        </w:tc>
        <w:tc>
          <w:tcPr>
            <w:tcW w:w="493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 rodzina</w:t>
            </w:r>
          </w:p>
        </w:tc>
      </w:tr>
      <w:tr>
        <w:trPr/>
        <w:tc>
          <w:tcPr>
            <w:tcW w:w="465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100 %</w:t>
            </w:r>
          </w:p>
        </w:tc>
        <w:tc>
          <w:tcPr>
            <w:tcW w:w="493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 rodzina</w:t>
            </w:r>
          </w:p>
        </w:tc>
      </w:tr>
    </w:tbl>
    <w:p>
      <w:pPr>
        <w:pStyle w:val="Normal"/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agwek1user"/>
        <w:tabs>
          <w:tab w:val="clear" w:pos="709"/>
          <w:tab w:val="left" w:pos="0" w:leader="none"/>
        </w:tabs>
        <w:ind w:hanging="0" w:start="0"/>
        <w:rPr/>
      </w:pPr>
      <w:r>
        <w:rPr/>
        <w:t>CEL II.</w:t>
      </w:r>
    </w:p>
    <w:p>
      <w:pPr>
        <w:pStyle w:val="Nagwek3user"/>
        <w:tabs>
          <w:tab w:val="clear" w:pos="709"/>
          <w:tab w:val="left" w:pos="0" w:leader="none"/>
        </w:tabs>
        <w:spacing w:lineRule="auto" w:line="276" w:before="0" w:after="0"/>
        <w:ind w:hanging="0" w:start="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 w:ascii="Calibri" w:hAnsi="Calibri"/>
          <w:color w:val="000000"/>
          <w:sz w:val="24"/>
          <w:szCs w:val="24"/>
        </w:rPr>
        <w:t>Wzmocnienie i współpraca: profesjonalizacja systemu wsparcia dla rodzin doświadczających trudności  w pełnieniu funkcji opiekuńczo – wychowawczej</w:t>
      </w:r>
    </w:p>
    <w:p>
      <w:pPr>
        <w:pStyle w:val="Normal"/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 xml:space="preserve">Cel II realizowany był zgodnie z ustawą o wspieraniu rodziny oraz systemie pieczy zastępczej z dnia </w:t>
        <w:br/>
        <w:t>9 czerwca 2011 roku poprzez:</w:t>
      </w:r>
    </w:p>
    <w:p>
      <w:pPr>
        <w:pStyle w:val="Normal"/>
        <w:numPr>
          <w:ilvl w:val="0"/>
          <w:numId w:val="4"/>
        </w:numPr>
        <w:spacing w:lineRule="auto" w:line="276"/>
        <w:jc w:val="both"/>
        <w:rPr/>
      </w:pPr>
      <w:r>
        <w:rPr>
          <w:rStyle w:val="Domylnaczcionkaakapitu"/>
          <w:rFonts w:cs="Calibri" w:ascii="Calibri" w:hAnsi="Calibri"/>
        </w:rPr>
        <w:t>wsparcie rodzin przez asystenta rodziny</w:t>
      </w:r>
      <w:r>
        <w:rPr>
          <w:rStyle w:val="Domylnaczcionkaakapitu"/>
          <w:rFonts w:cs="Calibri" w:ascii="Calibri" w:hAnsi="Calibri"/>
          <w:b/>
          <w:bCs/>
        </w:rPr>
        <w:t>;</w:t>
      </w:r>
    </w:p>
    <w:p>
      <w:pPr>
        <w:pStyle w:val="Normal"/>
        <w:numPr>
          <w:ilvl w:val="0"/>
          <w:numId w:val="4"/>
        </w:numPr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prowadzenie monitoringu sytuacji dziecka z rodziny dysfunkcyjnej po zakończeniu współpracy z asystentem rodziny;</w:t>
      </w:r>
    </w:p>
    <w:p>
      <w:pPr>
        <w:pStyle w:val="Normal"/>
        <w:numPr>
          <w:ilvl w:val="0"/>
          <w:numId w:val="4"/>
        </w:numPr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prowadzenie pracy socjalnej z rodzinami;</w:t>
      </w:r>
    </w:p>
    <w:p>
      <w:pPr>
        <w:pStyle w:val="Normal"/>
        <w:numPr>
          <w:ilvl w:val="0"/>
          <w:numId w:val="4"/>
        </w:numPr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współpraca pomiędzy lokalnymi instytucjami i podmiotami działającymi na rzecz wsparcia rodzin i dzieci;</w:t>
      </w:r>
    </w:p>
    <w:p>
      <w:pPr>
        <w:pStyle w:val="Normal"/>
        <w:numPr>
          <w:ilvl w:val="0"/>
          <w:numId w:val="4"/>
        </w:numPr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zapewnienie dzieciom z rodzin przeżywających trudności w wypełnianiu funkcji opiekuńczo-wychowawczej możliwości uczestnictwa w zajęciach organizowanych przez placówki wsparcia dziennego na terenie miasta;</w:t>
      </w:r>
    </w:p>
    <w:p>
      <w:pPr>
        <w:pStyle w:val="Normal"/>
        <w:numPr>
          <w:ilvl w:val="0"/>
          <w:numId w:val="4"/>
        </w:numPr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współfinansowanie pobytu dziecka w pieczy zastępczej.</w:t>
      </w:r>
    </w:p>
    <w:p>
      <w:pPr>
        <w:pStyle w:val="Normal"/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W realizację w/w celu zaangażowane były następujące służby: Sąd Rejonowy, Komenda Powiatowa Policji, Placówki Oświatowe.</w:t>
      </w:r>
    </w:p>
    <w:p>
      <w:pPr>
        <w:pStyle w:val="Normal"/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Tabela nr 4.</w:t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Wsparcie rodzin przez asystenta rodziny</w:t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tbl>
      <w:tblPr>
        <w:tblW w:w="9650" w:type="dxa"/>
        <w:jc w:val="start"/>
        <w:tblInd w:w="-2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5610"/>
        <w:gridCol w:w="4040"/>
      </w:tblGrid>
      <w:tr>
        <w:trPr/>
        <w:tc>
          <w:tcPr>
            <w:tcW w:w="561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Liczba zatrudnionych asystentów</w:t>
            </w:r>
          </w:p>
        </w:tc>
        <w:tc>
          <w:tcPr>
            <w:tcW w:w="404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4</w:t>
            </w:r>
          </w:p>
        </w:tc>
      </w:tr>
      <w:tr>
        <w:trPr/>
        <w:tc>
          <w:tcPr>
            <w:tcW w:w="561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Liczba rodzin objętych wsparciem asystenta rodziny</w:t>
            </w:r>
          </w:p>
        </w:tc>
        <w:tc>
          <w:tcPr>
            <w:tcW w:w="404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61</w:t>
            </w:r>
          </w:p>
        </w:tc>
      </w:tr>
      <w:tr>
        <w:trPr/>
        <w:tc>
          <w:tcPr>
            <w:tcW w:w="561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Liczba dzieci w tych rodzinach</w:t>
            </w:r>
          </w:p>
        </w:tc>
        <w:tc>
          <w:tcPr>
            <w:tcW w:w="404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144</w:t>
            </w:r>
          </w:p>
        </w:tc>
      </w:tr>
    </w:tbl>
    <w:p>
      <w:pPr>
        <w:pStyle w:val="Normal"/>
        <w:spacing w:lineRule="auto" w:line="276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 xml:space="preserve">Miejski Ośrodek Pomocy Społecznej w Tomaszowie Mazowieckim w 2025 roku zatrudniał </w:t>
        <w:br/>
        <w:t xml:space="preserve">4 asystentów rodzinnych. Praca asystenta rodziny polega przede wszystkim na wspieraniu rodziny </w:t>
        <w:br/>
        <w:t>w wypełnianiu funkcji opiekuńczo – wychowawczych i opiera się na realizacji wspólnie stworzonego planu pracy z rodziną.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 xml:space="preserve">Rola asystenta rodziny zaczyna się już na etapie profilaktyki i wiąże się z aktywnym oraz częściowym wspomaganiem rodziny. Wsparcie  asystenta rodziny ma na celu pomoc w wypełnianiu codziennych obowiązków i zadań, motywowania do podejmowania określonych działań, podtrzymywanie więzi uczuciowych w rodzinie, budowanie poczucia sprawczości, wspieranie </w:t>
        <w:br/>
        <w:t xml:space="preserve">w podnoszeniu umiejętności prowadzenia gospodarstwa domowego i kompetencji społecznych, </w:t>
        <w:br/>
        <w:t>w tym także podejmowania pracy i dopełniania spraw urzędowych.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U podstaw pracy asystenta rodziny leży zasada pomocniczości, współpracy, dobrowolności, a także poszanowania godności i prawa do samostanowienia klientów.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Miejscem pracy asystenta rodziny jest miejsce zamieszkania danej rodziny bądź miejsce przez nią wskazane. Zakres zadań asystenta rodziny obejmuje cztery obszary:</w:t>
      </w:r>
    </w:p>
    <w:p>
      <w:pPr>
        <w:pStyle w:val="Normal"/>
        <w:numPr>
          <w:ilvl w:val="0"/>
          <w:numId w:val="5"/>
        </w:numPr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bezpośrednią pracę z rodzicami;</w:t>
      </w:r>
    </w:p>
    <w:p>
      <w:pPr>
        <w:pStyle w:val="Normal"/>
        <w:numPr>
          <w:ilvl w:val="0"/>
          <w:numId w:val="5"/>
        </w:numPr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bezpośrednią pracę z dziećmi;</w:t>
      </w:r>
    </w:p>
    <w:p>
      <w:pPr>
        <w:pStyle w:val="Normal"/>
        <w:numPr>
          <w:ilvl w:val="0"/>
          <w:numId w:val="5"/>
        </w:numPr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działania pośrednie realizowane na rzecz dziecka i rodziny oraz organizację własnego warsztatu pracy.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Szczegółowe zadania asystenta rodziny określa art. 15 ust. 1 ustawy z dnia 9 czerwca 2011r.  o wspieraniu rodziny i systemie pieczy zastępczej (Dz. U. z 2025r. poz. 49 z późniejszymi zmianami), wśród których wyróżniono między innymi:</w:t>
      </w:r>
    </w:p>
    <w:p>
      <w:pPr>
        <w:pStyle w:val="Normal"/>
        <w:numPr>
          <w:ilvl w:val="0"/>
          <w:numId w:val="6"/>
        </w:numPr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opracowanie i realizację planu pracy z rodziną;</w:t>
      </w:r>
    </w:p>
    <w:p>
      <w:pPr>
        <w:pStyle w:val="Normal"/>
        <w:numPr>
          <w:ilvl w:val="0"/>
          <w:numId w:val="6"/>
        </w:numPr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udzielanie pomocy rodzinom w poprawie ich sytuacji życiowej, w tym zdobywaniu umiejętności prawidłowego prowadzenia gospodarstwa domowego;</w:t>
      </w:r>
    </w:p>
    <w:p>
      <w:pPr>
        <w:pStyle w:val="Normal"/>
        <w:numPr>
          <w:ilvl w:val="0"/>
          <w:numId w:val="6"/>
        </w:numPr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 xml:space="preserve">udzielanie pomocy rodzinom w rozwiązywaniu problemów socjalnych, wychowawczych </w:t>
        <w:br/>
        <w:t>z dziećmi i psychologicznych;</w:t>
      </w:r>
    </w:p>
    <w:p>
      <w:pPr>
        <w:pStyle w:val="Normal"/>
        <w:numPr>
          <w:ilvl w:val="0"/>
          <w:numId w:val="6"/>
        </w:numPr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wspieranie aktywności społecznej;</w:t>
      </w:r>
    </w:p>
    <w:p>
      <w:pPr>
        <w:pStyle w:val="Normal"/>
        <w:numPr>
          <w:ilvl w:val="0"/>
          <w:numId w:val="6"/>
        </w:numPr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motywowanie członków rodziny do podnoszenia kwalifikacji zawodowych;</w:t>
      </w:r>
    </w:p>
    <w:p>
      <w:pPr>
        <w:pStyle w:val="Normal"/>
        <w:numPr>
          <w:ilvl w:val="0"/>
          <w:numId w:val="6"/>
        </w:numPr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udzielanie pomocy w poszukiwaniu , podejmowaniu i utrzymaniu pracy zarobkowej;</w:t>
      </w:r>
    </w:p>
    <w:p>
      <w:pPr>
        <w:pStyle w:val="Normal"/>
        <w:numPr>
          <w:ilvl w:val="0"/>
          <w:numId w:val="6"/>
        </w:numPr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podejmowanie działań interwencyjnych i zaradczych w sytuacji  zagrożenia bezpieczeństwa dzieci i rodzin;</w:t>
      </w:r>
    </w:p>
    <w:p>
      <w:pPr>
        <w:pStyle w:val="Normal"/>
        <w:numPr>
          <w:ilvl w:val="0"/>
          <w:numId w:val="6"/>
        </w:numPr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prowadzenie dokumentacji dotyczącej pracy z rodziną;</w:t>
      </w:r>
    </w:p>
    <w:p>
      <w:pPr>
        <w:pStyle w:val="Normal"/>
        <w:numPr>
          <w:ilvl w:val="0"/>
          <w:numId w:val="6"/>
        </w:numPr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 xml:space="preserve">współpraca z jednostkami administracji rządowej i samorządowej, właściwymi organizacjami pozarządowymi oraz innymi podmiotami i osobami specjalizującymi się w działaniach </w:t>
        <w:br/>
        <w:t>na rzecz  dziecka i rodziny;</w:t>
      </w:r>
    </w:p>
    <w:p>
      <w:pPr>
        <w:pStyle w:val="Normal"/>
        <w:numPr>
          <w:ilvl w:val="0"/>
          <w:numId w:val="6"/>
        </w:numPr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 xml:space="preserve"> </w:t>
      </w:r>
      <w:r>
        <w:rPr>
          <w:rFonts w:cs="Calibri" w:ascii="Calibri" w:hAnsi="Calibri"/>
        </w:rPr>
        <w:t>sporządzanie na wniosek sądu opinii o rodzinie i jej członkach.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W Miejskim Ośrodku Pomocy Społecznej został powołany Zespół ds. Asysty Rodzinnej na podstawie Zarządzenia Dyrektora Miejskiego Ośrodka Pomocy Społecznej w Tomaszowie Mazowieckim Nr 16/2025 z dnia 9 czerwca 2025 r.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</w:rPr>
        <w:tab/>
        <w:t>W</w:t>
      </w:r>
      <w:r>
        <w:rPr>
          <w:rStyle w:val="Domylnaczcionkaakapitu"/>
          <w:rFonts w:cs="Calibri" w:ascii="Calibri" w:hAnsi="Calibri"/>
          <w:b/>
          <w:bCs/>
        </w:rPr>
        <w:t xml:space="preserve"> </w:t>
      </w:r>
      <w:r>
        <w:rPr>
          <w:rStyle w:val="Domylnaczcionkaakapitu"/>
          <w:rFonts w:cs="Calibri" w:ascii="Calibri" w:hAnsi="Calibri"/>
        </w:rPr>
        <w:t>2025 roku odbyły się</w:t>
      </w:r>
      <w:r>
        <w:rPr>
          <w:rStyle w:val="Domylnaczcionkaakapitu"/>
          <w:rFonts w:cs="Calibri" w:ascii="Calibri" w:hAnsi="Calibri"/>
          <w:b/>
          <w:bCs/>
        </w:rPr>
        <w:t xml:space="preserve"> </w:t>
      </w:r>
      <w:r>
        <w:rPr>
          <w:rStyle w:val="Domylnaczcionkaakapitu"/>
          <w:rFonts w:cs="Calibri" w:ascii="Calibri" w:hAnsi="Calibri"/>
        </w:rPr>
        <w:t xml:space="preserve">82 spotkania, które miały na celu poprawę funkcjonowania rodziny. W spotkaniach brali udział przedstawiciele instytucji, które mają wpływ na diagnozę problemu </w:t>
        <w:br/>
        <w:t>lub organizację i realizację planu pomocy. Byli to przedstawiciele Sądu Rejonowego, PCPR, KPP, placówek oświatowych oraz organizacji pozarządowych. Liczba osób biorących udział w tych spotkaniach waha się średnio od 4 do 6 osób.</w:t>
      </w:r>
    </w:p>
    <w:p>
      <w:pPr>
        <w:pStyle w:val="Normal"/>
        <w:spacing w:lineRule="auto" w:line="360"/>
        <w:ind w:firstLine="709"/>
        <w:rPr/>
      </w:pPr>
      <w:r>
        <w:rPr>
          <w:rStyle w:val="Domylnaczcionkaakapitu"/>
          <w:rFonts w:cs="Calibri" w:ascii="Calibri" w:hAnsi="Calibri"/>
          <w:color w:val="000000"/>
        </w:rPr>
        <w:t xml:space="preserve">Praca na rzecz rodzin prowadzona jest nadal w oparciu o kontakt pracownika socjalnego, asystenta oraz przedstawicieli  Sadu Rejonowego, PCPR, KPP oraz przedstawicieli placówek oświatowych. </w:t>
        <w:br/>
        <w:t>W 2025 roku asystenci rodziny zakończyli pracę z 21</w:t>
      </w:r>
      <w:r>
        <w:rPr>
          <w:rStyle w:val="Domylnaczcionkaakapitu"/>
          <w:rFonts w:cs="Calibri" w:ascii="Calibri" w:hAnsi="Calibri"/>
          <w:b/>
          <w:bCs/>
          <w:color w:val="000000"/>
        </w:rPr>
        <w:t xml:space="preserve"> </w:t>
      </w:r>
      <w:r>
        <w:rPr>
          <w:rStyle w:val="Domylnaczcionkaakapitu"/>
          <w:rFonts w:cs="Calibri" w:ascii="Calibri" w:hAnsi="Calibri"/>
          <w:color w:val="000000"/>
        </w:rPr>
        <w:t>rodzinami:</w:t>
      </w:r>
    </w:p>
    <w:p>
      <w:pPr>
        <w:pStyle w:val="Normal"/>
        <w:spacing w:lineRule="auto" w:line="360"/>
        <w:rPr/>
      </w:pPr>
      <w:r>
        <w:rPr>
          <w:rStyle w:val="Domylnaczcionkaakapitu"/>
          <w:rFonts w:cs="Calibri" w:ascii="Calibri" w:hAnsi="Calibri"/>
          <w:color w:val="000000"/>
        </w:rPr>
        <w:t xml:space="preserve">- </w:t>
      </w:r>
      <w:r>
        <w:rPr>
          <w:rStyle w:val="Domylnaczcionkaakapitu"/>
          <w:rFonts w:cs="Calibri" w:ascii="Calibri" w:hAnsi="Calibri"/>
        </w:rPr>
        <w:t>ze względu na osiągnięcie celów z 7 rodzinami;</w:t>
      </w:r>
    </w:p>
    <w:p>
      <w:pPr>
        <w:pStyle w:val="Normal"/>
        <w:spacing w:lineRule="auto" w:line="360"/>
        <w:rPr>
          <w:rFonts w:ascii="Calibri" w:hAnsi="Calibri" w:cs="Calibri"/>
        </w:rPr>
      </w:pPr>
      <w:r>
        <w:rPr>
          <w:rFonts w:cs="Calibri" w:ascii="Calibri" w:hAnsi="Calibri"/>
        </w:rPr>
        <w:t>- ze względu na zaprzestanie współpracy z 14 rodzinami, z czego:</w:t>
      </w:r>
    </w:p>
    <w:p>
      <w:pPr>
        <w:pStyle w:val="Normal"/>
        <w:numPr>
          <w:ilvl w:val="0"/>
          <w:numId w:val="7"/>
        </w:numPr>
        <w:spacing w:lineRule="auto" w:line="360"/>
        <w:rPr>
          <w:rFonts w:ascii="Calibri" w:hAnsi="Calibri" w:cs="Calibri"/>
        </w:rPr>
      </w:pPr>
      <w:r>
        <w:rPr>
          <w:rFonts w:cs="Calibri" w:ascii="Calibri" w:hAnsi="Calibri"/>
        </w:rPr>
        <w:t>6 rodzin - zrezygnowało ze współpracy z asystentem rodziny;</w:t>
      </w:r>
    </w:p>
    <w:p>
      <w:pPr>
        <w:pStyle w:val="Normal"/>
        <w:numPr>
          <w:ilvl w:val="0"/>
          <w:numId w:val="8"/>
        </w:numPr>
        <w:spacing w:lineRule="auto" w:line="360"/>
        <w:rPr>
          <w:rFonts w:ascii="Calibri" w:hAnsi="Calibri" w:cs="Calibri"/>
        </w:rPr>
      </w:pPr>
      <w:r>
        <w:rPr>
          <w:rFonts w:cs="Calibri" w:ascii="Calibri" w:hAnsi="Calibri"/>
        </w:rPr>
        <w:t>1 rodzina - asystent rodziny zaprzestał z rodziną współpracy ze względu na brak efektów;</w:t>
      </w:r>
    </w:p>
    <w:p>
      <w:pPr>
        <w:pStyle w:val="Normal"/>
        <w:numPr>
          <w:ilvl w:val="0"/>
          <w:numId w:val="9"/>
        </w:numPr>
        <w:spacing w:lineRule="auto" w:line="360"/>
        <w:rPr>
          <w:rFonts w:ascii="Calibri" w:hAnsi="Calibri" w:cs="Calibri"/>
        </w:rPr>
      </w:pPr>
      <w:r>
        <w:rPr>
          <w:rFonts w:cs="Calibri" w:ascii="Calibri" w:hAnsi="Calibri"/>
        </w:rPr>
        <w:t>7 rodzin - asystent rodziny zaprzestał współpracy  ze względu na inne sytuacje ( np. zgon uczestnika, zmiana miejsca zamieszkania, osadzenie w zakładzie karnym).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Po zakończeniu pracy z rodziną prowadzony jest przez asystenta rodziny monitoring, który ma służyć ocenie jak funkcjonuje rodzina po zaprzestaniu współpracy z asystentem.  Monitoring trwa średnio od 3 do 6 miesięcy.</w:t>
      </w:r>
    </w:p>
    <w:p>
      <w:pPr>
        <w:pStyle w:val="Normal"/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Tabela nr 5.</w:t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Specjalistyczne poradnictwo rodzinne</w:t>
      </w:r>
    </w:p>
    <w:p>
      <w:pPr>
        <w:pStyle w:val="Normal"/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tbl>
      <w:tblPr>
        <w:tblW w:w="9638" w:type="dxa"/>
        <w:jc w:val="start"/>
        <w:tblInd w:w="-2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7540"/>
        <w:gridCol w:w="2098"/>
      </w:tblGrid>
      <w:tr>
        <w:trPr/>
        <w:tc>
          <w:tcPr>
            <w:tcW w:w="754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Praca socjalna prowadzona przez pracowników socjalnych</w:t>
            </w:r>
          </w:p>
        </w:tc>
        <w:tc>
          <w:tcPr>
            <w:tcW w:w="2098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682</w:t>
            </w:r>
          </w:p>
        </w:tc>
      </w:tr>
      <w:tr>
        <w:trPr/>
        <w:tc>
          <w:tcPr>
            <w:tcW w:w="75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Liczba konsultacji psychologicznych w MOPS</w:t>
            </w:r>
          </w:p>
        </w:tc>
        <w:tc>
          <w:tcPr>
            <w:tcW w:w="209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180</w:t>
            </w:r>
          </w:p>
        </w:tc>
      </w:tr>
      <w:tr>
        <w:trPr/>
        <w:tc>
          <w:tcPr>
            <w:tcW w:w="75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Liczba udzielonych porad psychologicznych PRCP</w:t>
            </w:r>
          </w:p>
        </w:tc>
        <w:tc>
          <w:tcPr>
            <w:tcW w:w="209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413</w:t>
            </w:r>
          </w:p>
        </w:tc>
      </w:tr>
    </w:tbl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  <w:r>
        <w:br w:type="page"/>
      </w:r>
    </w:p>
    <w:p>
      <w:pPr>
        <w:pStyle w:val="Normalny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Tabela nr 6.</w:t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Monitoring sytuacji dziecka w rodzinach mających problem w wypełnianiu swoich funkcji</w:t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tbl>
      <w:tblPr>
        <w:tblW w:w="9638" w:type="dxa"/>
        <w:jc w:val="start"/>
        <w:tblInd w:w="-2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3212"/>
        <w:gridCol w:w="3213"/>
        <w:gridCol w:w="3213"/>
      </w:tblGrid>
      <w:tr>
        <w:trPr/>
        <w:tc>
          <w:tcPr>
            <w:tcW w:w="321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MOPS</w:t>
            </w:r>
          </w:p>
        </w:tc>
        <w:tc>
          <w:tcPr>
            <w:tcW w:w="321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Liczba monitorowanych rodzin</w:t>
            </w:r>
          </w:p>
        </w:tc>
        <w:tc>
          <w:tcPr>
            <w:tcW w:w="321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749</w:t>
            </w:r>
          </w:p>
        </w:tc>
      </w:tr>
      <w:tr>
        <w:trPr/>
        <w:tc>
          <w:tcPr>
            <w:tcW w:w="321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Sąd Rejonowy kuratorzy</w:t>
            </w:r>
          </w:p>
        </w:tc>
        <w:tc>
          <w:tcPr>
            <w:tcW w:w="321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Liczba monitorowanych rodzin</w:t>
            </w:r>
          </w:p>
        </w:tc>
        <w:tc>
          <w:tcPr>
            <w:tcW w:w="321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169</w:t>
            </w:r>
          </w:p>
        </w:tc>
      </w:tr>
    </w:tbl>
    <w:p>
      <w:pPr>
        <w:pStyle w:val="Normal"/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360" w:before="57" w:after="57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W 2025 roku funkcjonariusze Komendy Powiatowej Policji w Tomaszowie Mazowieckim podejmowali czynności służbowe w sytuacji zagrożenia zdrowia i życia dziecka, na podstawie, których prowadzone były postępowania przygotowawcze.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W trakcie realizacji zadań służbowych funkcjonariusze ujawnili 24 przypadki sprawowania opieki nad małoletnimi dziećmi przez opiekuna będącego pod działaniem alkoholu.</w:t>
        <w:tab/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Tabela nr 7.</w:t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Placówki wsparcia dziennego ( rodzaje)</w:t>
      </w:r>
    </w:p>
    <w:tbl>
      <w:tblPr>
        <w:tblW w:w="9638" w:type="dxa"/>
        <w:jc w:val="start"/>
        <w:tblInd w:w="-2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3570"/>
        <w:gridCol w:w="3454"/>
        <w:gridCol w:w="2614"/>
      </w:tblGrid>
      <w:tr>
        <w:trPr/>
        <w:tc>
          <w:tcPr>
            <w:tcW w:w="357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Rodzaj placówki</w:t>
            </w:r>
          </w:p>
        </w:tc>
        <w:tc>
          <w:tcPr>
            <w:tcW w:w="3454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Liczba placówek w okresie</w:t>
            </w:r>
          </w:p>
          <w:p>
            <w:pPr>
              <w:pStyle w:val="Zawartotabeli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styczeń - grudzień 2025r.</w:t>
            </w:r>
          </w:p>
        </w:tc>
        <w:tc>
          <w:tcPr>
            <w:tcW w:w="2614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Liczba dzieci biorących</w:t>
            </w:r>
          </w:p>
          <w:p>
            <w:pPr>
              <w:pStyle w:val="Zawartotabeli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udział w zajęciach</w:t>
            </w:r>
          </w:p>
        </w:tc>
      </w:tr>
      <w:tr>
        <w:trPr/>
        <w:tc>
          <w:tcPr>
            <w:tcW w:w="357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Liczba placówek o charakterze socjoterapeutycznym</w:t>
            </w:r>
          </w:p>
        </w:tc>
        <w:tc>
          <w:tcPr>
            <w:tcW w:w="345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114" w:after="114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2</w:t>
            </w:r>
          </w:p>
        </w:tc>
        <w:tc>
          <w:tcPr>
            <w:tcW w:w="261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spacing w:before="114" w:after="114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75</w:t>
            </w:r>
          </w:p>
        </w:tc>
      </w:tr>
      <w:tr>
        <w:trPr/>
        <w:tc>
          <w:tcPr>
            <w:tcW w:w="357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Liczba placówek o charakterze opiekuńczo - wychowawczym</w:t>
            </w:r>
          </w:p>
        </w:tc>
        <w:tc>
          <w:tcPr>
            <w:tcW w:w="345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114" w:after="114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2</w:t>
            </w:r>
          </w:p>
        </w:tc>
        <w:tc>
          <w:tcPr>
            <w:tcW w:w="261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spacing w:before="57" w:after="57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66</w:t>
            </w:r>
          </w:p>
        </w:tc>
      </w:tr>
    </w:tbl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Na terenie Naszego miasta zapewniono dzieciom z rodzin przeżywających trudności w wypełnianiu funkcji opiekuńczo – wychowawczej możliwość uczestnictwa w zajęciach organizowanych przez placówki wsparcia dziennego.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Efektem udziału w zajęciach było wyrównywanie szans dzieci i młodzieży poprzez: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- zapewnienie opieki wychowawczej;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- tworzenie warunków do nauki i pomocy w nauce.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Na terenie miasta funkcjonuje placówka wsparcia dziennego dla dzieci i młodzieży. Jest to miejsce przeznaczone dla dzieci i młodzieży zapewniające udział w atrakcyjnych zajęciach, dzięki którym mogą rozwijać swoje zainteresowania i uzdolnienia.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Placówka zapewnia :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- opiekę i wychowanie;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- pomoc w nauce;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- organizację czasu wolnego, zabawę i zajęcia sportowe oraz rozwój zainteresowania;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- wsparcie psychologiczne.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Z udziału w placówce skorzystać mogą dzieci w wieku szkolnym do ukończenia 18 roku życia zagrożone ubóstwem i wykluczeniem społecznym zamieszkałe na terenie miasta Tomaszowa Mazowieckiego.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Do dyspozycji uczestników są: sale informatyczno-językowe, duża sala zajęciowa, pomieszczenie do spędzania czasu, czytelnia, przestrzeń do nauki i zabawy, pokój psychologa, aneks kuchenny, zaplecze socjalne.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W związku z realizacją Miejskiego Programu Wspierania Rodziny na lata 2025-2027 odbywały się cykliczne spotkania przedstawicieli instytucji, służb miejskich i organizacji w celu opracowania nowych rozwiązań i dobrych praktyk na rzecz wspierania rodziny.</w:t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b/>
          <w:bCs/>
          <w:shd w:fill="FF4000" w:val="clear"/>
        </w:rPr>
        <w:br/>
      </w:r>
      <w:r>
        <w:rPr>
          <w:rStyle w:val="Domylnaczcionkaakapitu"/>
          <w:rFonts w:cs="Calibri" w:ascii="Calibri" w:hAnsi="Calibri"/>
          <w:b/>
          <w:bCs/>
          <w:sz w:val="22"/>
          <w:szCs w:val="22"/>
        </w:rPr>
        <w:t>Tabela nr 8.</w:t>
      </w:r>
    </w:p>
    <w:p>
      <w:pPr>
        <w:pStyle w:val="Normal"/>
        <w:spacing w:lineRule="auto" w:line="276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Współfinansowanie pobytu dziecka w pieczy zastępczej.</w:t>
        <w:br/>
      </w:r>
    </w:p>
    <w:tbl>
      <w:tblPr>
        <w:tblW w:w="9580" w:type="dxa"/>
        <w:jc w:val="start"/>
        <w:tblInd w:w="27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563"/>
        <w:gridCol w:w="6417"/>
        <w:gridCol w:w="2600"/>
      </w:tblGrid>
      <w:tr>
        <w:trPr>
          <w:trHeight w:val="400" w:hRule="atLeast"/>
        </w:trPr>
        <w:tc>
          <w:tcPr>
            <w:tcW w:w="56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1.</w:t>
            </w:r>
          </w:p>
        </w:tc>
        <w:tc>
          <w:tcPr>
            <w:tcW w:w="6417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Liczba dzieci umieszczonych w pieczy zastępczej w 2025 r.</w:t>
            </w:r>
          </w:p>
        </w:tc>
        <w:tc>
          <w:tcPr>
            <w:tcW w:w="260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bottom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35</w:t>
            </w:r>
          </w:p>
        </w:tc>
      </w:tr>
      <w:tr>
        <w:trPr/>
        <w:tc>
          <w:tcPr>
            <w:tcW w:w="5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2.</w:t>
            </w:r>
          </w:p>
        </w:tc>
        <w:tc>
          <w:tcPr>
            <w:tcW w:w="641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Liczba dzieci przebywających w pieczy zastępczej</w:t>
            </w:r>
          </w:p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260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162</w:t>
            </w:r>
          </w:p>
        </w:tc>
      </w:tr>
      <w:tr>
        <w:trPr/>
        <w:tc>
          <w:tcPr>
            <w:tcW w:w="5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3.</w:t>
            </w:r>
          </w:p>
        </w:tc>
        <w:tc>
          <w:tcPr>
            <w:tcW w:w="641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Poniesione koszty</w:t>
            </w:r>
          </w:p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260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 xml:space="preserve">    </w:t>
            </w:r>
            <w:r>
              <w:rPr>
                <w:rFonts w:cs="Calibri" w:ascii="Calibri" w:hAnsi="Calibri"/>
              </w:rPr>
              <w:t xml:space="preserve">2 099 404,91 zł          </w:t>
            </w:r>
          </w:p>
        </w:tc>
      </w:tr>
    </w:tbl>
    <w:p>
      <w:pPr>
        <w:pStyle w:val="Normal"/>
        <w:spacing w:lineRule="auto" w:line="276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Tabela nr 9.</w:t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Wspieranie rodzin w działaniach zmierzających do powrotu dziecka do środowiska naturalnego.</w:t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b/>
          <w:bCs/>
        </w:rPr>
        <w:tab/>
      </w:r>
      <w:r>
        <w:rPr>
          <w:rStyle w:val="Domylnaczcionkaakapitu"/>
          <w:rFonts w:cs="Calibri" w:ascii="Calibri" w:hAnsi="Calibri"/>
        </w:rPr>
        <w:t>Kontakty z dziećmi przebywającymi w pieczy zastępczej zrealizowało 5 rodzin.</w:t>
      </w:r>
    </w:p>
    <w:p>
      <w:pPr>
        <w:pStyle w:val="Normal"/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tbl>
      <w:tblPr>
        <w:tblW w:w="9638" w:type="dxa"/>
        <w:jc w:val="start"/>
        <w:tblInd w:w="-2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099"/>
        <w:gridCol w:w="3910"/>
        <w:gridCol w:w="3629"/>
      </w:tblGrid>
      <w:tr>
        <w:trPr/>
        <w:tc>
          <w:tcPr>
            <w:tcW w:w="2099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Instytucja</w:t>
            </w:r>
          </w:p>
        </w:tc>
        <w:tc>
          <w:tcPr>
            <w:tcW w:w="391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Liczba planów pomocy dziecku przebywającemu w pieczy zastępczej</w:t>
            </w:r>
          </w:p>
        </w:tc>
        <w:tc>
          <w:tcPr>
            <w:tcW w:w="3629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Liczba dzieci, które powróciły do rodziny biologicznej</w:t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PCPR</w:t>
            </w:r>
          </w:p>
        </w:tc>
        <w:tc>
          <w:tcPr>
            <w:tcW w:w="391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30</w:t>
            </w:r>
          </w:p>
        </w:tc>
        <w:tc>
          <w:tcPr>
            <w:tcW w:w="3629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10</w:t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MOPS</w:t>
            </w:r>
          </w:p>
        </w:tc>
        <w:tc>
          <w:tcPr>
            <w:tcW w:w="391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4</w:t>
            </w:r>
          </w:p>
        </w:tc>
        <w:tc>
          <w:tcPr>
            <w:tcW w:w="3629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5</w:t>
            </w:r>
          </w:p>
        </w:tc>
      </w:tr>
    </w:tbl>
    <w:p>
      <w:pPr>
        <w:pStyle w:val="Normal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p>
      <w:pPr>
        <w:pStyle w:val="Nagwek1user"/>
        <w:tabs>
          <w:tab w:val="clear" w:pos="709"/>
          <w:tab w:val="left" w:pos="0" w:leader="none"/>
        </w:tabs>
        <w:ind w:hanging="0" w:start="0"/>
        <w:jc w:val="both"/>
        <w:rPr/>
      </w:pPr>
      <w:r>
        <w:rPr/>
        <w:t>CEL III.</w:t>
      </w:r>
    </w:p>
    <w:p>
      <w:pPr>
        <w:pStyle w:val="Nagwek1user"/>
        <w:tabs>
          <w:tab w:val="clear" w:pos="709"/>
          <w:tab w:val="left" w:pos="0" w:leader="none"/>
        </w:tabs>
        <w:ind w:hanging="0" w:start="0"/>
        <w:jc w:val="both"/>
        <w:rPr/>
      </w:pPr>
      <w:r>
        <w:rPr/>
        <w:t>Działania profilaktyczne: promowanie pozytywnego wizerunku rodziny, kreowanie prawidłowych wzorców</w:t>
      </w:r>
    </w:p>
    <w:p>
      <w:pPr>
        <w:pStyle w:val="Normal"/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W dniu 11 września 2025 roku w Miejskim Ośrodku Pomocy Społecznej w/m odbył się Piknik Rodzinny dla dzieci, w ramach Projektu Miasto dla Rodziny.  W pikniku udział wzięło 56 dzieci z 28 rodzin.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Działania podejmowane w Projekcie Miasto dla Rodziny miały za zadanie wspieranie integracji społecznej osób zagrożonych ubóstwem lub wykluczeniem społecznym, w tym osób najbardziej potrzebujących i dzieci. Uczestnicy skorzystali ze wsparcia w formie: zajęć informatycznych, „Laboratorium przyszłości” (multimedia, druk 3D, tworzenie nadruków itp.), językowych (język angielski i niemiecki), kulturalnych – medialnych (wystąpienia publiczne, fotografia, film), z zakresu umiejętności społecznych (komunikacji, rozwiązywania konfliktów, asertywności), zajęć sportowych, wsparcia korepetytorów, doradztwa zawodowego, jak również wsparcia psychologa. Dla uczestników organizowane były wycieczki jednodniowe, warsztaty wyjazdowe, wyjścia kulturalne oraz działania integracyjne.</w:t>
      </w:r>
    </w:p>
    <w:p>
      <w:pPr>
        <w:pStyle w:val="Normal"/>
        <w:spacing w:lineRule="auto" w:line="360"/>
        <w:jc w:val="both"/>
        <w:rPr/>
      </w:pPr>
      <w:r>
        <w:rPr>
          <w:rStyle w:val="Strong"/>
          <w:rFonts w:cs="Calibri" w:ascii="Calibri" w:hAnsi="Calibri"/>
          <w:b w:val="false"/>
          <w:bCs w:val="false"/>
        </w:rPr>
        <w:tab/>
        <w:t>Podejmowane były także działania o charakterze profilaktycznym</w:t>
      </w:r>
      <w:r>
        <w:rPr>
          <w:rStyle w:val="Domylnaczcionkaakapitu"/>
          <w:rFonts w:cs="Calibri" w:ascii="Calibri" w:hAnsi="Calibri"/>
        </w:rPr>
        <w:t xml:space="preserve"> poprzez współpracę </w:t>
        <w:br/>
        <w:t>z asystentem rodziny, którego zadaniem była pomoc rodzinie przy wdrażaniu prawidłowych postaw życiowych wszystkich jej członków, wskazanie sposobów wyjścia z trudnej sytuacji życiowej, ustalenie mocnych stron rodziny oraz rodzaju i kolejność podejmowanych działań.</w:t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W ramach Projektu Miasto dla Rodziny wprowadzono poradnictwo psychologiczne skierowane do ofiar przemocy, w tym przemocy w rodzinie – również w miejscu zamieszkania oraz działania edukacyjne i profilaktyczne skierowane do ww. osób tj. warsztaty edukacyjne ze specjalistą, działania profilaktyczne połączone z animacją społeczną skierowaną do dzieci doświadczających przemocy.</w:t>
      </w:r>
    </w:p>
    <w:p>
      <w:pPr>
        <w:pStyle w:val="Normal"/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ab/>
        <w:t>Od wielu lat dostępną formą wsparcia dla rodzin z terenu miasta Tomaszowa Mazowieckiego ukierunkowaną na korzystanie z ulg, takich jak: darmowy transport publiczny MZK, zniżki przy korzystaniu z miejsc kultury i rozrywki jest Karta Tomaszowianina.</w:t>
      </w:r>
    </w:p>
    <w:p>
      <w:pPr>
        <w:pStyle w:val="Normal"/>
        <w:spacing w:lineRule="auto" w:line="276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b/>
          <w:bCs/>
          <w:sz w:val="22"/>
          <w:szCs w:val="22"/>
        </w:rPr>
        <w:t>Tabela nr 10.</w:t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Wsparcie rodzin wielodzietnych poprzez kontynuowanie i realizację Ogólnopolskiej oraz Tomaszowskiej Karty Dużej Rodziny 3+</w:t>
      </w:r>
    </w:p>
    <w:p>
      <w:pPr>
        <w:pStyle w:val="Normal"/>
        <w:spacing w:lineRule="auto" w:line="276"/>
        <w:jc w:val="both"/>
        <w:rPr>
          <w:rFonts w:ascii="Calibri" w:hAnsi="Calibri" w:cs="Calibri"/>
          <w:b/>
          <w:bCs/>
        </w:rPr>
      </w:pPr>
      <w:r>
        <w:rPr>
          <w:rFonts w:cs="Calibri" w:ascii="Calibri" w:hAnsi="Calibri"/>
          <w:b/>
          <w:bCs/>
        </w:rPr>
      </w:r>
    </w:p>
    <w:tbl>
      <w:tblPr>
        <w:tblW w:w="9638" w:type="dxa"/>
        <w:jc w:val="start"/>
        <w:tblInd w:w="-2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410"/>
        <w:gridCol w:w="3228"/>
      </w:tblGrid>
      <w:tr>
        <w:trPr/>
        <w:tc>
          <w:tcPr>
            <w:tcW w:w="641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Rodzaj karty</w:t>
            </w:r>
          </w:p>
        </w:tc>
        <w:tc>
          <w:tcPr>
            <w:tcW w:w="3228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 xml:space="preserve">Liczba wydanych kart     </w:t>
            </w:r>
          </w:p>
        </w:tc>
      </w:tr>
      <w:tr>
        <w:trPr/>
        <w:tc>
          <w:tcPr>
            <w:tcW w:w="641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Ogólnopolska Karta Dużej Rodziny 3+ (tradycyjna)</w:t>
            </w:r>
          </w:p>
        </w:tc>
        <w:tc>
          <w:tcPr>
            <w:tcW w:w="3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151</w:t>
            </w:r>
          </w:p>
        </w:tc>
      </w:tr>
      <w:tr>
        <w:trPr/>
        <w:tc>
          <w:tcPr>
            <w:tcW w:w="641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Ogólnopolska Karta Dużej Rodziny 3+  (elektroniczna)</w:t>
            </w:r>
          </w:p>
        </w:tc>
        <w:tc>
          <w:tcPr>
            <w:tcW w:w="3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39</w:t>
            </w:r>
          </w:p>
        </w:tc>
      </w:tr>
      <w:tr>
        <w:trPr/>
        <w:tc>
          <w:tcPr>
            <w:tcW w:w="641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Karta Tomaszowianina Duża Rodzina 3+</w:t>
            </w:r>
          </w:p>
        </w:tc>
        <w:tc>
          <w:tcPr>
            <w:tcW w:w="3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125</w:t>
            </w:r>
          </w:p>
        </w:tc>
      </w:tr>
      <w:tr>
        <w:trPr/>
        <w:tc>
          <w:tcPr>
            <w:tcW w:w="641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Karta Młodego Tomaszowianina 3+</w:t>
            </w:r>
          </w:p>
        </w:tc>
        <w:tc>
          <w:tcPr>
            <w:tcW w:w="3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131</w:t>
            </w:r>
          </w:p>
        </w:tc>
      </w:tr>
    </w:tbl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</w:rPr>
        <w:tab/>
        <w:t xml:space="preserve">Ponadto w 2025 roku zostały zorganizowane przez Urząd Miasta w Tomaszowie Mazowieckim imprezy o charakterze prorodzinnym pod nazwą: „Piknik Lokalni Niebanalni”, „Marsz do Życia </w:t>
        <w:br/>
        <w:t>i Rodziny” oraz przez Miejskie Centrum Kultury w Tomaszowie Mazowieckim „Dzień Dziecka”.</w:t>
      </w:r>
    </w:p>
    <w:sectPr>
      <w:footerReference w:type="default" r:id="rId4"/>
      <w:type w:val="nextPage"/>
      <w:pgSz w:w="11906" w:h="16838"/>
      <w:pgMar w:left="1134" w:right="1134" w:gutter="0" w:header="0" w:top="708" w:footer="765" w:bottom="1388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OpenSymbol">
    <w:altName w:val="Arial Unicode MS"/>
    <w:charset w:val="ee" w:characterSet="windows-1250"/>
    <w:family w:val="auto"/>
    <w:pitch w:val="default"/>
  </w:font>
  <w:font w:name="Calibr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user"/>
      <w:jc w:val="end"/>
      <w:rPr/>
    </w:pPr>
    <w:r>
      <w:rPr>
        <w:rStyle w:val="Domylnaczcionkaakapitu"/>
        <w:rFonts w:ascii="Calibri" w:hAnsi="Calibri"/>
        <w:sz w:val="20"/>
        <w:szCs w:val="20"/>
      </w:rPr>
      <w:fldChar w:fldCharType="begin"/>
    </w:r>
    <w:r>
      <w:rPr>
        <w:rStyle w:val="Domylnaczcionkaakapitu"/>
        <w:rFonts w:ascii="Calibri" w:hAnsi="Calibri"/>
        <w:sz w:val="20"/>
        <w:szCs w:val="20"/>
      </w:rPr>
      <w:instrText xml:space="preserve"> PAGE </w:instrText>
    </w:r>
    <w:r>
      <w:rPr>
        <w:rStyle w:val="Domylnaczcionkaakapitu"/>
        <w:rFonts w:ascii="Calibri" w:hAnsi="Calibri"/>
        <w:sz w:val="20"/>
        <w:szCs w:val="20"/>
      </w:rPr>
      <w:fldChar w:fldCharType="separate"/>
    </w:r>
    <w:r>
      <w:rPr>
        <w:rStyle w:val="Domylnaczcionkaakapitu"/>
        <w:rFonts w:ascii="Calibri" w:hAnsi="Calibri"/>
        <w:sz w:val="20"/>
        <w:szCs w:val="20"/>
      </w:rPr>
      <w:t>10</w:t>
    </w:r>
    <w:r>
      <w:rPr>
        <w:rStyle w:val="Domylnaczcionkaakapitu"/>
        <w:rFonts w:ascii="Calibri" w:hAnsi="Calibri"/>
        <w:sz w:val="20"/>
        <w:szCs w:val="20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Nagwek1user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pStyle w:val="Nagwek2user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pStyle w:val="Nagwek3user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pStyle w:val="Nagwek4user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pStyle w:val="Nagwek5user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pStyle w:val="Nagwek6user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pStyle w:val="Nagwek7user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pStyle w:val="Nagwek8user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pStyle w:val="Nagwek9user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</w:rPr>
    </w:lvl>
  </w:abstractNum>
  <w:abstractNum w:abstractNumId="6">
    <w:lvl w:ilvl="0">
      <w:start w:val="1"/>
      <w:numFmt w:val="decimal"/>
      <w:lvlText w:val="%1)"/>
      <w:lvlJc w:val="start"/>
      <w:pPr>
        <w:tabs>
          <w:tab w:val="num" w:pos="0"/>
        </w:tabs>
        <w:ind w:start="720" w:hanging="360"/>
      </w:pPr>
    </w:lvl>
    <w:lvl w:ilvl="1">
      <w:start w:val="1"/>
      <w:numFmt w:val="decimal"/>
      <w:lvlText w:val="%2)"/>
      <w:lvlJc w:val="start"/>
      <w:pPr>
        <w:tabs>
          <w:tab w:val="num" w:pos="0"/>
        </w:tabs>
        <w:ind w:start="1080" w:hanging="360"/>
      </w:pPr>
    </w:lvl>
    <w:lvl w:ilvl="2">
      <w:start w:val="1"/>
      <w:numFmt w:val="decimal"/>
      <w:lvlText w:val="%3)"/>
      <w:lvlJc w:val="start"/>
      <w:pPr>
        <w:tabs>
          <w:tab w:val="num" w:pos="0"/>
        </w:tabs>
        <w:ind w:start="1440" w:hanging="360"/>
      </w:pPr>
    </w:lvl>
    <w:lvl w:ilvl="3">
      <w:start w:val="1"/>
      <w:numFmt w:val="decimal"/>
      <w:lvlText w:val="%4)"/>
      <w:lvlJc w:val="start"/>
      <w:pPr>
        <w:tabs>
          <w:tab w:val="num" w:pos="0"/>
        </w:tabs>
        <w:ind w:start="1800" w:hanging="360"/>
      </w:pPr>
    </w:lvl>
    <w:lvl w:ilvl="4">
      <w:start w:val="1"/>
      <w:numFmt w:val="decimal"/>
      <w:lvlText w:val="%5)"/>
      <w:lvlJc w:val="start"/>
      <w:pPr>
        <w:tabs>
          <w:tab w:val="num" w:pos="0"/>
        </w:tabs>
        <w:ind w:start="2160" w:hanging="360"/>
      </w:pPr>
    </w:lvl>
    <w:lvl w:ilvl="5">
      <w:start w:val="1"/>
      <w:numFmt w:val="decimal"/>
      <w:lvlText w:val="%6)"/>
      <w:lvlJc w:val="start"/>
      <w:pPr>
        <w:tabs>
          <w:tab w:val="num" w:pos="0"/>
        </w:tabs>
        <w:ind w:start="2520" w:hanging="360"/>
      </w:pPr>
    </w:lvl>
    <w:lvl w:ilvl="6">
      <w:start w:val="1"/>
      <w:numFmt w:val="decimal"/>
      <w:lvlText w:val="%7)"/>
      <w:lvlJc w:val="start"/>
      <w:pPr>
        <w:tabs>
          <w:tab w:val="num" w:pos="0"/>
        </w:tabs>
        <w:ind w:start="2880" w:hanging="360"/>
      </w:pPr>
    </w:lvl>
    <w:lvl w:ilvl="7">
      <w:start w:val="1"/>
      <w:numFmt w:val="decimal"/>
      <w:lvlText w:val="%8)"/>
      <w:lvlJc w:val="start"/>
      <w:pPr>
        <w:tabs>
          <w:tab w:val="num" w:pos="0"/>
        </w:tabs>
        <w:ind w:start="3240" w:hanging="360"/>
      </w:pPr>
    </w:lvl>
    <w:lvl w:ilvl="8">
      <w:start w:val="1"/>
      <w:numFmt w:val="decimal"/>
      <w:lvlText w:val="%9)"/>
      <w:lvlJc w:val="start"/>
      <w:pPr>
        <w:tabs>
          <w:tab w:val="num" w:pos="0"/>
        </w:tabs>
        <w:ind w:start="3600" w:hanging="360"/>
      </w:pPr>
    </w:lvl>
  </w:abstractNum>
  <w:abstractNum w:abstractNumId="7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start"/>
      <w:pPr>
        <w:tabs>
          <w:tab w:val="num" w:pos="0"/>
        </w:tabs>
        <w:ind w:star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"/>
      <w:lvlJc w:val="start"/>
      <w:pPr>
        <w:tabs>
          <w:tab w:val="num" w:pos="0"/>
        </w:tabs>
        <w:ind w:star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"/>
      <w:lvlJc w:val="start"/>
      <w:pPr>
        <w:tabs>
          <w:tab w:val="num" w:pos="0"/>
        </w:tabs>
        <w:ind w:star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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"/>
      <w:lvlJc w:val="start"/>
      <w:pPr>
        <w:tabs>
          <w:tab w:val="num" w:pos="0"/>
        </w:tabs>
        <w:ind w:star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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"/>
      <w:lvlJc w:val="start"/>
      <w:pPr>
        <w:tabs>
          <w:tab w:val="num" w:pos="0"/>
        </w:tabs>
        <w:ind w:star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"/>
      <w:lvlJc w:val="start"/>
      <w:pPr>
        <w:tabs>
          <w:tab w:val="num" w:pos="0"/>
        </w:tabs>
        <w:ind w:start="360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start"/>
      <w:pPr>
        <w:tabs>
          <w:tab w:val="num" w:pos="0"/>
        </w:tabs>
        <w:ind w:star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"/>
      <w:lvlJc w:val="start"/>
      <w:pPr>
        <w:tabs>
          <w:tab w:val="num" w:pos="0"/>
        </w:tabs>
        <w:ind w:star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"/>
      <w:lvlJc w:val="start"/>
      <w:pPr>
        <w:tabs>
          <w:tab w:val="num" w:pos="0"/>
        </w:tabs>
        <w:ind w:star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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"/>
      <w:lvlJc w:val="start"/>
      <w:pPr>
        <w:tabs>
          <w:tab w:val="num" w:pos="0"/>
        </w:tabs>
        <w:ind w:star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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"/>
      <w:lvlJc w:val="start"/>
      <w:pPr>
        <w:tabs>
          <w:tab w:val="num" w:pos="0"/>
        </w:tabs>
        <w:ind w:star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"/>
      <w:lvlJc w:val="start"/>
      <w:pPr>
        <w:tabs>
          <w:tab w:val="num" w:pos="0"/>
        </w:tabs>
        <w:ind w:start="360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start"/>
      <w:pPr>
        <w:tabs>
          <w:tab w:val="num" w:pos="0"/>
        </w:tabs>
        <w:ind w:star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"/>
      <w:lvlJc w:val="start"/>
      <w:pPr>
        <w:tabs>
          <w:tab w:val="num" w:pos="0"/>
        </w:tabs>
        <w:ind w:star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"/>
      <w:lvlJc w:val="start"/>
      <w:pPr>
        <w:tabs>
          <w:tab w:val="num" w:pos="0"/>
        </w:tabs>
        <w:ind w:star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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"/>
      <w:lvlJc w:val="start"/>
      <w:pPr>
        <w:tabs>
          <w:tab w:val="num" w:pos="0"/>
        </w:tabs>
        <w:ind w:star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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"/>
      <w:lvlJc w:val="start"/>
      <w:pPr>
        <w:tabs>
          <w:tab w:val="num" w:pos="0"/>
        </w:tabs>
        <w:ind w:star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"/>
      <w:lvlJc w:val="start"/>
      <w:pPr>
        <w:tabs>
          <w:tab w:val="num" w:pos="0"/>
        </w:tabs>
        <w:ind w:start="360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FreeSans"/>
        <w:kern w:val="2"/>
        <w:sz w:val="24"/>
        <w:szCs w:val="24"/>
        <w:lang w:val="pl-PL" w:eastAsia="zh-CN" w:bidi="hi-IN"/>
      </w:rPr>
    </w:rPrDefault>
    <w:pPrDefault>
      <w:pPr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start"/>
    </w:pPr>
    <w:rPr>
      <w:rFonts w:ascii="Liberation Serif" w:hAnsi="Liberation Serif" w:eastAsia="Droid Sans Fallback" w:cs="Free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l-PL" w:eastAsia="zh-CN" w:bidi="hi-IN"/>
    </w:rPr>
  </w:style>
  <w:style w:type="character" w:styleId="Domylnaczcionkaakapitu">
    <w:name w:val="Domyślna czcionka akapitu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Znakinumeracji">
    <w:name w:val="Znaki numeracji"/>
    <w:qFormat/>
    <w:rPr/>
  </w:style>
  <w:style w:type="character" w:styleId="Strong">
    <w:name w:val="Strong"/>
    <w:qFormat/>
    <w:rPr>
      <w:b/>
      <w:bCs/>
    </w:rPr>
  </w:style>
  <w:style w:type="character" w:styleId="WWCharLFO1LVL1">
    <w:name w:val="WW_CharLFO1LVL1"/>
    <w:qFormat/>
    <w:rPr>
      <w:rFonts w:ascii="OpenSymbol" w:hAnsi="OpenSymbol" w:eastAsia="OpenSymbol" w:cs="OpenSymbol"/>
    </w:rPr>
  </w:style>
  <w:style w:type="character" w:styleId="WWCharLFO1LVL2">
    <w:name w:val="WW_CharLFO1LVL2"/>
    <w:qFormat/>
    <w:rPr>
      <w:rFonts w:ascii="OpenSymbol" w:hAnsi="OpenSymbol" w:eastAsia="OpenSymbol" w:cs="OpenSymbol"/>
    </w:rPr>
  </w:style>
  <w:style w:type="character" w:styleId="WWCharLFO1LVL3">
    <w:name w:val="WW_CharLFO1LVL3"/>
    <w:qFormat/>
    <w:rPr>
      <w:rFonts w:ascii="OpenSymbol" w:hAnsi="OpenSymbol" w:eastAsia="OpenSymbol" w:cs="OpenSymbol"/>
    </w:rPr>
  </w:style>
  <w:style w:type="character" w:styleId="WWCharLFO1LVL4">
    <w:name w:val="WW_CharLFO1LVL4"/>
    <w:qFormat/>
    <w:rPr>
      <w:rFonts w:ascii="OpenSymbol" w:hAnsi="OpenSymbol" w:eastAsia="OpenSymbol" w:cs="OpenSymbol"/>
    </w:rPr>
  </w:style>
  <w:style w:type="character" w:styleId="WWCharLFO1LVL5">
    <w:name w:val="WW_CharLFO1LVL5"/>
    <w:qFormat/>
    <w:rPr>
      <w:rFonts w:ascii="OpenSymbol" w:hAnsi="OpenSymbol" w:eastAsia="OpenSymbol" w:cs="OpenSymbol"/>
    </w:rPr>
  </w:style>
  <w:style w:type="character" w:styleId="WWCharLFO1LVL6">
    <w:name w:val="WW_CharLFO1LVL6"/>
    <w:qFormat/>
    <w:rPr>
      <w:rFonts w:ascii="OpenSymbol" w:hAnsi="OpenSymbol" w:eastAsia="OpenSymbol" w:cs="OpenSymbol"/>
    </w:rPr>
  </w:style>
  <w:style w:type="character" w:styleId="WWCharLFO1LVL7">
    <w:name w:val="WW_CharLFO1LVL7"/>
    <w:qFormat/>
    <w:rPr>
      <w:rFonts w:ascii="OpenSymbol" w:hAnsi="OpenSymbol" w:eastAsia="OpenSymbol" w:cs="OpenSymbol"/>
    </w:rPr>
  </w:style>
  <w:style w:type="character" w:styleId="WWCharLFO1LVL8">
    <w:name w:val="WW_CharLFO1LVL8"/>
    <w:qFormat/>
    <w:rPr>
      <w:rFonts w:ascii="OpenSymbol" w:hAnsi="OpenSymbol" w:eastAsia="OpenSymbol" w:cs="OpenSymbol"/>
    </w:rPr>
  </w:style>
  <w:style w:type="character" w:styleId="WWCharLFO1LVL9">
    <w:name w:val="WW_CharLFO1LVL9"/>
    <w:qFormat/>
    <w:rPr>
      <w:rFonts w:ascii="OpenSymbol" w:hAnsi="OpenSymbol" w:eastAsia="OpenSymbol" w:cs="OpenSymbol"/>
    </w:rPr>
  </w:style>
  <w:style w:type="character" w:styleId="WWCharLFO2LVL1">
    <w:name w:val="WW_CharLFO2LVL1"/>
    <w:qFormat/>
    <w:rPr>
      <w:rFonts w:ascii="OpenSymbol" w:hAnsi="OpenSymbol" w:eastAsia="OpenSymbol" w:cs="OpenSymbol"/>
    </w:rPr>
  </w:style>
  <w:style w:type="character" w:styleId="WWCharLFO2LVL2">
    <w:name w:val="WW_CharLFO2LVL2"/>
    <w:qFormat/>
    <w:rPr>
      <w:rFonts w:ascii="OpenSymbol" w:hAnsi="OpenSymbol" w:eastAsia="OpenSymbol" w:cs="OpenSymbol"/>
    </w:rPr>
  </w:style>
  <w:style w:type="character" w:styleId="WWCharLFO2LVL3">
    <w:name w:val="WW_CharLFO2LVL3"/>
    <w:qFormat/>
    <w:rPr>
      <w:rFonts w:ascii="OpenSymbol" w:hAnsi="OpenSymbol" w:eastAsia="OpenSymbol" w:cs="OpenSymbol"/>
    </w:rPr>
  </w:style>
  <w:style w:type="character" w:styleId="WWCharLFO2LVL4">
    <w:name w:val="WW_CharLFO2LVL4"/>
    <w:qFormat/>
    <w:rPr>
      <w:rFonts w:ascii="OpenSymbol" w:hAnsi="OpenSymbol" w:eastAsia="OpenSymbol" w:cs="OpenSymbol"/>
    </w:rPr>
  </w:style>
  <w:style w:type="character" w:styleId="WWCharLFO2LVL5">
    <w:name w:val="WW_CharLFO2LVL5"/>
    <w:qFormat/>
    <w:rPr>
      <w:rFonts w:ascii="OpenSymbol" w:hAnsi="OpenSymbol" w:eastAsia="OpenSymbol" w:cs="OpenSymbol"/>
    </w:rPr>
  </w:style>
  <w:style w:type="character" w:styleId="WWCharLFO2LVL6">
    <w:name w:val="WW_CharLFO2LVL6"/>
    <w:qFormat/>
    <w:rPr>
      <w:rFonts w:ascii="OpenSymbol" w:hAnsi="OpenSymbol" w:eastAsia="OpenSymbol" w:cs="OpenSymbol"/>
    </w:rPr>
  </w:style>
  <w:style w:type="character" w:styleId="WWCharLFO2LVL7">
    <w:name w:val="WW_CharLFO2LVL7"/>
    <w:qFormat/>
    <w:rPr>
      <w:rFonts w:ascii="OpenSymbol" w:hAnsi="OpenSymbol" w:eastAsia="OpenSymbol" w:cs="OpenSymbol"/>
    </w:rPr>
  </w:style>
  <w:style w:type="character" w:styleId="WWCharLFO2LVL8">
    <w:name w:val="WW_CharLFO2LVL8"/>
    <w:qFormat/>
    <w:rPr>
      <w:rFonts w:ascii="OpenSymbol" w:hAnsi="OpenSymbol" w:eastAsia="OpenSymbol" w:cs="OpenSymbol"/>
    </w:rPr>
  </w:style>
  <w:style w:type="character" w:styleId="WWCharLFO2LVL9">
    <w:name w:val="WW_CharLFO2LVL9"/>
    <w:qFormat/>
    <w:rPr>
      <w:rFonts w:ascii="OpenSymbol" w:hAnsi="OpenSymbol" w:eastAsia="OpenSymbol" w:cs="OpenSymbol"/>
    </w:rPr>
  </w:style>
  <w:style w:type="character" w:styleId="WWCharLFO3LVL1">
    <w:name w:val="WW_CharLFO3LVL1"/>
    <w:qFormat/>
    <w:rPr>
      <w:rFonts w:ascii="OpenSymbol" w:hAnsi="OpenSymbol" w:eastAsia="OpenSymbol" w:cs="OpenSymbol"/>
    </w:rPr>
  </w:style>
  <w:style w:type="character" w:styleId="WWCharLFO3LVL2">
    <w:name w:val="WW_CharLFO3LVL2"/>
    <w:qFormat/>
    <w:rPr>
      <w:rFonts w:ascii="OpenSymbol" w:hAnsi="OpenSymbol" w:eastAsia="OpenSymbol" w:cs="OpenSymbol"/>
    </w:rPr>
  </w:style>
  <w:style w:type="character" w:styleId="WWCharLFO3LVL3">
    <w:name w:val="WW_CharLFO3LVL3"/>
    <w:qFormat/>
    <w:rPr>
      <w:rFonts w:ascii="OpenSymbol" w:hAnsi="OpenSymbol" w:eastAsia="OpenSymbol" w:cs="OpenSymbol"/>
    </w:rPr>
  </w:style>
  <w:style w:type="character" w:styleId="WWCharLFO3LVL4">
    <w:name w:val="WW_CharLFO3LVL4"/>
    <w:qFormat/>
    <w:rPr>
      <w:rFonts w:ascii="OpenSymbol" w:hAnsi="OpenSymbol" w:eastAsia="OpenSymbol" w:cs="OpenSymbol"/>
    </w:rPr>
  </w:style>
  <w:style w:type="character" w:styleId="WWCharLFO3LVL5">
    <w:name w:val="WW_CharLFO3LVL5"/>
    <w:qFormat/>
    <w:rPr>
      <w:rFonts w:ascii="OpenSymbol" w:hAnsi="OpenSymbol" w:eastAsia="OpenSymbol" w:cs="OpenSymbol"/>
    </w:rPr>
  </w:style>
  <w:style w:type="character" w:styleId="WWCharLFO3LVL6">
    <w:name w:val="WW_CharLFO3LVL6"/>
    <w:qFormat/>
    <w:rPr>
      <w:rFonts w:ascii="OpenSymbol" w:hAnsi="OpenSymbol" w:eastAsia="OpenSymbol" w:cs="OpenSymbol"/>
    </w:rPr>
  </w:style>
  <w:style w:type="character" w:styleId="WWCharLFO3LVL7">
    <w:name w:val="WW_CharLFO3LVL7"/>
    <w:qFormat/>
    <w:rPr>
      <w:rFonts w:ascii="OpenSymbol" w:hAnsi="OpenSymbol" w:eastAsia="OpenSymbol" w:cs="OpenSymbol"/>
    </w:rPr>
  </w:style>
  <w:style w:type="character" w:styleId="WWCharLFO3LVL8">
    <w:name w:val="WW_CharLFO3LVL8"/>
    <w:qFormat/>
    <w:rPr>
      <w:rFonts w:ascii="OpenSymbol" w:hAnsi="OpenSymbol" w:eastAsia="OpenSymbol" w:cs="OpenSymbol"/>
    </w:rPr>
  </w:style>
  <w:style w:type="character" w:styleId="WWCharLFO3LVL9">
    <w:name w:val="WW_CharLFO3LVL9"/>
    <w:qFormat/>
    <w:rPr>
      <w:rFonts w:ascii="OpenSymbol" w:hAnsi="OpenSymbol" w:eastAsia="OpenSymbol" w:cs="OpenSymbol"/>
    </w:rPr>
  </w:style>
  <w:style w:type="character" w:styleId="WWCharLFO4LVL1">
    <w:name w:val="WW_CharLFO4LVL1"/>
    <w:qFormat/>
    <w:rPr>
      <w:rFonts w:ascii="OpenSymbol" w:hAnsi="OpenSymbol" w:eastAsia="OpenSymbol" w:cs="OpenSymbol"/>
    </w:rPr>
  </w:style>
  <w:style w:type="character" w:styleId="WWCharLFO4LVL2">
    <w:name w:val="WW_CharLFO4LVL2"/>
    <w:qFormat/>
    <w:rPr>
      <w:rFonts w:ascii="OpenSymbol" w:hAnsi="OpenSymbol" w:eastAsia="OpenSymbol" w:cs="OpenSymbol"/>
    </w:rPr>
  </w:style>
  <w:style w:type="character" w:styleId="WWCharLFO4LVL3">
    <w:name w:val="WW_CharLFO4LVL3"/>
    <w:qFormat/>
    <w:rPr>
      <w:rFonts w:ascii="OpenSymbol" w:hAnsi="OpenSymbol" w:eastAsia="OpenSymbol" w:cs="OpenSymbol"/>
    </w:rPr>
  </w:style>
  <w:style w:type="character" w:styleId="WWCharLFO4LVL4">
    <w:name w:val="WW_CharLFO4LVL4"/>
    <w:qFormat/>
    <w:rPr>
      <w:rFonts w:ascii="OpenSymbol" w:hAnsi="OpenSymbol" w:eastAsia="OpenSymbol" w:cs="OpenSymbol"/>
    </w:rPr>
  </w:style>
  <w:style w:type="character" w:styleId="WWCharLFO4LVL5">
    <w:name w:val="WW_CharLFO4LVL5"/>
    <w:qFormat/>
    <w:rPr>
      <w:rFonts w:ascii="OpenSymbol" w:hAnsi="OpenSymbol" w:eastAsia="OpenSymbol" w:cs="OpenSymbol"/>
    </w:rPr>
  </w:style>
  <w:style w:type="character" w:styleId="WWCharLFO4LVL6">
    <w:name w:val="WW_CharLFO4LVL6"/>
    <w:qFormat/>
    <w:rPr>
      <w:rFonts w:ascii="OpenSymbol" w:hAnsi="OpenSymbol" w:eastAsia="OpenSymbol" w:cs="OpenSymbol"/>
    </w:rPr>
  </w:style>
  <w:style w:type="character" w:styleId="WWCharLFO4LVL7">
    <w:name w:val="WW_CharLFO4LVL7"/>
    <w:qFormat/>
    <w:rPr>
      <w:rFonts w:ascii="OpenSymbol" w:hAnsi="OpenSymbol" w:eastAsia="OpenSymbol" w:cs="OpenSymbol"/>
    </w:rPr>
  </w:style>
  <w:style w:type="character" w:styleId="WWCharLFO4LVL8">
    <w:name w:val="WW_CharLFO4LVL8"/>
    <w:qFormat/>
    <w:rPr>
      <w:rFonts w:ascii="OpenSymbol" w:hAnsi="OpenSymbol" w:eastAsia="OpenSymbol" w:cs="OpenSymbol"/>
    </w:rPr>
  </w:style>
  <w:style w:type="character" w:styleId="WWCharLFO4LVL9">
    <w:name w:val="WW_CharLFO4LVL9"/>
    <w:qFormat/>
    <w:rPr>
      <w:rFonts w:ascii="OpenSymbol" w:hAnsi="OpenSymbol" w:eastAsia="OpenSymbol" w:cs="OpenSymbol"/>
    </w:rPr>
  </w:style>
  <w:style w:type="character" w:styleId="WWCharLFO6LVL1">
    <w:name w:val="WW_CharLFO6LVL1"/>
    <w:qFormat/>
    <w:rPr>
      <w:rFonts w:ascii="OpenSymbol" w:hAnsi="OpenSymbol" w:eastAsia="OpenSymbol" w:cs="OpenSymbol"/>
    </w:rPr>
  </w:style>
  <w:style w:type="character" w:styleId="WWCharLFO6LVL2">
    <w:name w:val="WW_CharLFO6LVL2"/>
    <w:qFormat/>
    <w:rPr>
      <w:rFonts w:ascii="OpenSymbol" w:hAnsi="OpenSymbol" w:eastAsia="OpenSymbol" w:cs="OpenSymbol"/>
    </w:rPr>
  </w:style>
  <w:style w:type="character" w:styleId="WWCharLFO6LVL3">
    <w:name w:val="WW_CharLFO6LVL3"/>
    <w:qFormat/>
    <w:rPr>
      <w:rFonts w:ascii="OpenSymbol" w:hAnsi="OpenSymbol" w:eastAsia="OpenSymbol" w:cs="OpenSymbol"/>
    </w:rPr>
  </w:style>
  <w:style w:type="character" w:styleId="WWCharLFO6LVL4">
    <w:name w:val="WW_CharLFO6LVL4"/>
    <w:qFormat/>
    <w:rPr>
      <w:rFonts w:ascii="OpenSymbol" w:hAnsi="OpenSymbol" w:eastAsia="OpenSymbol" w:cs="OpenSymbol"/>
    </w:rPr>
  </w:style>
  <w:style w:type="character" w:styleId="WWCharLFO6LVL5">
    <w:name w:val="WW_CharLFO6LVL5"/>
    <w:qFormat/>
    <w:rPr>
      <w:rFonts w:ascii="OpenSymbol" w:hAnsi="OpenSymbol" w:eastAsia="OpenSymbol" w:cs="OpenSymbol"/>
    </w:rPr>
  </w:style>
  <w:style w:type="character" w:styleId="WWCharLFO6LVL6">
    <w:name w:val="WW_CharLFO6LVL6"/>
    <w:qFormat/>
    <w:rPr>
      <w:rFonts w:ascii="OpenSymbol" w:hAnsi="OpenSymbol" w:eastAsia="OpenSymbol" w:cs="OpenSymbol"/>
    </w:rPr>
  </w:style>
  <w:style w:type="character" w:styleId="WWCharLFO6LVL7">
    <w:name w:val="WW_CharLFO6LVL7"/>
    <w:qFormat/>
    <w:rPr>
      <w:rFonts w:ascii="OpenSymbol" w:hAnsi="OpenSymbol" w:eastAsia="OpenSymbol" w:cs="OpenSymbol"/>
    </w:rPr>
  </w:style>
  <w:style w:type="character" w:styleId="WWCharLFO6LVL8">
    <w:name w:val="WW_CharLFO6LVL8"/>
    <w:qFormat/>
    <w:rPr>
      <w:rFonts w:ascii="OpenSymbol" w:hAnsi="OpenSymbol" w:eastAsia="OpenSymbol" w:cs="OpenSymbol"/>
    </w:rPr>
  </w:style>
  <w:style w:type="character" w:styleId="WWCharLFO6LVL9">
    <w:name w:val="WW_CharLFO6LVL9"/>
    <w:qFormat/>
    <w:rPr>
      <w:rFonts w:ascii="OpenSymbol" w:hAnsi="OpenSymbol" w:eastAsia="OpenSymbol" w:cs="OpenSymbol"/>
    </w:rPr>
  </w:style>
  <w:style w:type="character" w:styleId="WWCharLFO7LVL1">
    <w:name w:val="WW_CharLFO7LVL1"/>
    <w:qFormat/>
    <w:rPr>
      <w:rFonts w:ascii="OpenSymbol" w:hAnsi="OpenSymbol" w:eastAsia="OpenSymbol" w:cs="OpenSymbol"/>
    </w:rPr>
  </w:style>
  <w:style w:type="character" w:styleId="WWCharLFO7LVL2">
    <w:name w:val="WW_CharLFO7LVL2"/>
    <w:qFormat/>
    <w:rPr>
      <w:rFonts w:ascii="OpenSymbol" w:hAnsi="OpenSymbol" w:eastAsia="OpenSymbol" w:cs="OpenSymbol"/>
    </w:rPr>
  </w:style>
  <w:style w:type="character" w:styleId="WWCharLFO7LVL3">
    <w:name w:val="WW_CharLFO7LVL3"/>
    <w:qFormat/>
    <w:rPr>
      <w:rFonts w:ascii="OpenSymbol" w:hAnsi="OpenSymbol" w:eastAsia="OpenSymbol" w:cs="OpenSymbol"/>
    </w:rPr>
  </w:style>
  <w:style w:type="character" w:styleId="WWCharLFO7LVL4">
    <w:name w:val="WW_CharLFO7LVL4"/>
    <w:qFormat/>
    <w:rPr>
      <w:rFonts w:ascii="OpenSymbol" w:hAnsi="OpenSymbol" w:eastAsia="OpenSymbol" w:cs="OpenSymbol"/>
    </w:rPr>
  </w:style>
  <w:style w:type="character" w:styleId="WWCharLFO7LVL5">
    <w:name w:val="WW_CharLFO7LVL5"/>
    <w:qFormat/>
    <w:rPr>
      <w:rFonts w:ascii="OpenSymbol" w:hAnsi="OpenSymbol" w:eastAsia="OpenSymbol" w:cs="OpenSymbol"/>
    </w:rPr>
  </w:style>
  <w:style w:type="character" w:styleId="WWCharLFO7LVL6">
    <w:name w:val="WW_CharLFO7LVL6"/>
    <w:qFormat/>
    <w:rPr>
      <w:rFonts w:ascii="OpenSymbol" w:hAnsi="OpenSymbol" w:eastAsia="OpenSymbol" w:cs="OpenSymbol"/>
    </w:rPr>
  </w:style>
  <w:style w:type="character" w:styleId="WWCharLFO7LVL7">
    <w:name w:val="WW_CharLFO7LVL7"/>
    <w:qFormat/>
    <w:rPr>
      <w:rFonts w:ascii="OpenSymbol" w:hAnsi="OpenSymbol" w:eastAsia="OpenSymbol" w:cs="OpenSymbol"/>
    </w:rPr>
  </w:style>
  <w:style w:type="character" w:styleId="WWCharLFO7LVL8">
    <w:name w:val="WW_CharLFO7LVL8"/>
    <w:qFormat/>
    <w:rPr>
      <w:rFonts w:ascii="OpenSymbol" w:hAnsi="OpenSymbol" w:eastAsia="OpenSymbol" w:cs="OpenSymbol"/>
    </w:rPr>
  </w:style>
  <w:style w:type="character" w:styleId="WWCharLFO7LVL9">
    <w:name w:val="WW_CharLFO7LVL9"/>
    <w:qFormat/>
    <w:rPr>
      <w:rFonts w:ascii="OpenSymbol" w:hAnsi="OpenSymbol" w:eastAsia="OpenSymbol" w:cs="OpenSymbol"/>
    </w:rPr>
  </w:style>
  <w:style w:type="character" w:styleId="WWCharLFO8LVL1">
    <w:name w:val="WW_CharLFO8LVL1"/>
    <w:qFormat/>
    <w:rPr>
      <w:rFonts w:ascii="OpenSymbol" w:hAnsi="OpenSymbol" w:eastAsia="OpenSymbol" w:cs="OpenSymbol"/>
    </w:rPr>
  </w:style>
  <w:style w:type="character" w:styleId="WWCharLFO8LVL2">
    <w:name w:val="WW_CharLFO8LVL2"/>
    <w:qFormat/>
    <w:rPr>
      <w:rFonts w:ascii="OpenSymbol" w:hAnsi="OpenSymbol" w:eastAsia="OpenSymbol" w:cs="OpenSymbol"/>
    </w:rPr>
  </w:style>
  <w:style w:type="character" w:styleId="WWCharLFO8LVL3">
    <w:name w:val="WW_CharLFO8LVL3"/>
    <w:qFormat/>
    <w:rPr>
      <w:rFonts w:ascii="OpenSymbol" w:hAnsi="OpenSymbol" w:eastAsia="OpenSymbol" w:cs="OpenSymbol"/>
    </w:rPr>
  </w:style>
  <w:style w:type="character" w:styleId="WWCharLFO8LVL4">
    <w:name w:val="WW_CharLFO8LVL4"/>
    <w:qFormat/>
    <w:rPr>
      <w:rFonts w:ascii="OpenSymbol" w:hAnsi="OpenSymbol" w:eastAsia="OpenSymbol" w:cs="OpenSymbol"/>
    </w:rPr>
  </w:style>
  <w:style w:type="character" w:styleId="WWCharLFO8LVL5">
    <w:name w:val="WW_CharLFO8LVL5"/>
    <w:qFormat/>
    <w:rPr>
      <w:rFonts w:ascii="OpenSymbol" w:hAnsi="OpenSymbol" w:eastAsia="OpenSymbol" w:cs="OpenSymbol"/>
    </w:rPr>
  </w:style>
  <w:style w:type="character" w:styleId="WWCharLFO8LVL6">
    <w:name w:val="WW_CharLFO8LVL6"/>
    <w:qFormat/>
    <w:rPr>
      <w:rFonts w:ascii="OpenSymbol" w:hAnsi="OpenSymbol" w:eastAsia="OpenSymbol" w:cs="OpenSymbol"/>
    </w:rPr>
  </w:style>
  <w:style w:type="character" w:styleId="WWCharLFO8LVL7">
    <w:name w:val="WW_CharLFO8LVL7"/>
    <w:qFormat/>
    <w:rPr>
      <w:rFonts w:ascii="OpenSymbol" w:hAnsi="OpenSymbol" w:eastAsia="OpenSymbol" w:cs="OpenSymbol"/>
    </w:rPr>
  </w:style>
  <w:style w:type="character" w:styleId="WWCharLFO8LVL8">
    <w:name w:val="WW_CharLFO8LVL8"/>
    <w:qFormat/>
    <w:rPr>
      <w:rFonts w:ascii="OpenSymbol" w:hAnsi="OpenSymbol" w:eastAsia="OpenSymbol" w:cs="OpenSymbol"/>
    </w:rPr>
  </w:style>
  <w:style w:type="character" w:styleId="WWCharLFO8LVL9">
    <w:name w:val="WW_CharLFO8LVL9"/>
    <w:qFormat/>
    <w:rPr>
      <w:rFonts w:ascii="OpenSymbol" w:hAnsi="OpenSymbol" w:eastAsia="OpenSymbol" w:cs="OpenSymbol"/>
    </w:rPr>
  </w:style>
  <w:style w:type="paragraph" w:styleId="Nagwek1user">
    <w:name w:val="Nagłówek 1 (user)"/>
    <w:basedOn w:val="Nagwekuser"/>
    <w:next w:val="BodyText"/>
    <w:qFormat/>
    <w:pPr>
      <w:numPr>
        <w:ilvl w:val="0"/>
        <w:numId w:val="1"/>
      </w:numPr>
      <w:suppressAutoHyphens w:val="true"/>
      <w:outlineLvl w:val="0"/>
    </w:pPr>
    <w:rPr>
      <w:rFonts w:ascii="Calibri" w:hAnsi="Calibri" w:eastAsia="Calibri" w:cs="Calibri"/>
      <w:b/>
      <w:bCs/>
      <w:sz w:val="24"/>
      <w:szCs w:val="24"/>
    </w:rPr>
  </w:style>
  <w:style w:type="paragraph" w:styleId="Nagwek2user">
    <w:name w:val="Nagłówek 2 (user)"/>
    <w:basedOn w:val="Nagwekuser"/>
    <w:next w:val="BodyText"/>
    <w:qFormat/>
    <w:pPr>
      <w:numPr>
        <w:ilvl w:val="1"/>
        <w:numId w:val="1"/>
      </w:numPr>
      <w:suppressAutoHyphens w:val="true"/>
      <w:spacing w:before="200" w:after="0"/>
      <w:outlineLvl w:val="1"/>
    </w:pPr>
    <w:rPr>
      <w:b/>
      <w:bCs/>
    </w:rPr>
  </w:style>
  <w:style w:type="paragraph" w:styleId="Nagwek3user">
    <w:name w:val="Nagłówek 3 (user)"/>
    <w:basedOn w:val="Nagwekuser"/>
    <w:next w:val="BodyText"/>
    <w:qFormat/>
    <w:pPr>
      <w:numPr>
        <w:ilvl w:val="2"/>
        <w:numId w:val="1"/>
      </w:numPr>
      <w:suppressAutoHyphens w:val="true"/>
      <w:spacing w:before="140" w:after="0"/>
      <w:outlineLvl w:val="2"/>
    </w:pPr>
    <w:rPr>
      <w:b/>
      <w:bCs/>
      <w:color w:val="808080"/>
    </w:rPr>
  </w:style>
  <w:style w:type="paragraph" w:styleId="Nagwek4user">
    <w:name w:val="Nagłówek 4 (user)"/>
    <w:basedOn w:val="Nagwek"/>
    <w:next w:val="BodyText"/>
    <w:qFormat/>
    <w:pPr>
      <w:numPr>
        <w:ilvl w:val="3"/>
        <w:numId w:val="1"/>
      </w:numPr>
      <w:suppressAutoHyphens w:val="true"/>
      <w:spacing w:before="120" w:after="0"/>
      <w:outlineLvl w:val="3"/>
    </w:pPr>
    <w:rPr>
      <w:b/>
      <w:bCs/>
      <w:i/>
      <w:iCs/>
      <w:sz w:val="26"/>
      <w:szCs w:val="26"/>
    </w:rPr>
  </w:style>
  <w:style w:type="paragraph" w:styleId="Nagwek5user">
    <w:name w:val="Nagłówek 5 (user)"/>
    <w:basedOn w:val="Nagwek"/>
    <w:next w:val="BodyText"/>
    <w:qFormat/>
    <w:pPr>
      <w:numPr>
        <w:ilvl w:val="4"/>
        <w:numId w:val="1"/>
      </w:numPr>
      <w:suppressAutoHyphens w:val="true"/>
      <w:spacing w:before="120" w:after="60"/>
      <w:outlineLvl w:val="4"/>
    </w:pPr>
    <w:rPr>
      <w:b/>
      <w:bCs/>
      <w:sz w:val="24"/>
      <w:szCs w:val="24"/>
    </w:rPr>
  </w:style>
  <w:style w:type="paragraph" w:styleId="Nagwek6user">
    <w:name w:val="Nagłówek 6 (user)"/>
    <w:basedOn w:val="Nagwek"/>
    <w:next w:val="BodyText"/>
    <w:qFormat/>
    <w:pPr>
      <w:numPr>
        <w:ilvl w:val="5"/>
        <w:numId w:val="1"/>
      </w:numPr>
      <w:suppressAutoHyphens w:val="true"/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Nagwek7user">
    <w:name w:val="Nagłówek 7 (user)"/>
    <w:basedOn w:val="Nagwek"/>
    <w:next w:val="BodyText"/>
    <w:qFormat/>
    <w:pPr>
      <w:numPr>
        <w:ilvl w:val="6"/>
        <w:numId w:val="1"/>
      </w:numPr>
      <w:suppressAutoHyphens w:val="true"/>
      <w:spacing w:before="60" w:after="60"/>
      <w:outlineLvl w:val="6"/>
    </w:pPr>
    <w:rPr>
      <w:b/>
      <w:bCs/>
      <w:sz w:val="20"/>
      <w:szCs w:val="20"/>
    </w:rPr>
  </w:style>
  <w:style w:type="paragraph" w:styleId="Nagwek8user">
    <w:name w:val="Nagłówek 8 (user)"/>
    <w:basedOn w:val="Nagwek"/>
    <w:next w:val="BodyText"/>
    <w:qFormat/>
    <w:pPr>
      <w:numPr>
        <w:ilvl w:val="7"/>
        <w:numId w:val="1"/>
      </w:numPr>
      <w:suppressAutoHyphens w:val="true"/>
      <w:spacing w:before="60" w:after="60"/>
      <w:outlineLvl w:val="7"/>
    </w:pPr>
    <w:rPr>
      <w:b/>
      <w:bCs/>
      <w:i/>
      <w:iCs/>
      <w:sz w:val="20"/>
      <w:szCs w:val="20"/>
    </w:rPr>
  </w:style>
  <w:style w:type="paragraph" w:styleId="Nagwek9user">
    <w:name w:val="Nagłówek 9 (user)"/>
    <w:basedOn w:val="Nagwek"/>
    <w:next w:val="BodyText"/>
    <w:qFormat/>
    <w:pPr>
      <w:numPr>
        <w:ilvl w:val="8"/>
        <w:numId w:val="1"/>
      </w:numPr>
      <w:suppressAutoHyphens w:val="true"/>
      <w:spacing w:before="60" w:after="60"/>
      <w:outlineLvl w:val="8"/>
    </w:pPr>
    <w:rPr>
      <w:b/>
      <w:bCs/>
      <w:sz w:val="18"/>
      <w:szCs w:val="18"/>
    </w:rPr>
  </w:style>
  <w:style w:type="paragraph" w:styleId="Normalny">
    <w:name w:val="Normalny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start"/>
    </w:pPr>
    <w:rPr>
      <w:rFonts w:ascii="Liberation Serif" w:hAnsi="Liberation Serif" w:eastAsia="Droid Sans Fallback" w:cs="Free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l-PL" w:eastAsia="zh-CN" w:bidi="hi-IN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  <w:suppressAutoHyphens w:val="true"/>
    </w:pPr>
    <w:rPr/>
  </w:style>
  <w:style w:type="paragraph" w:styleId="Nagwekuser">
    <w:name w:val="Nagłówek (user)"/>
    <w:basedOn w:val="Normal"/>
    <w:next w:val="BodyText"/>
    <w:qFormat/>
    <w:pPr>
      <w:keepNext w:val="true"/>
      <w:suppressAutoHyphens w:val="true"/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basedOn w:val="Normal"/>
    <w:pPr>
      <w:suppressAutoHyphens w:val="true"/>
      <w:spacing w:lineRule="auto" w:line="288" w:before="0" w:after="140"/>
    </w:pPr>
    <w:rPr/>
  </w:style>
  <w:style w:type="paragraph" w:styleId="Listauser">
    <w:name w:val="Lista (user)"/>
    <w:basedOn w:val="BodyText"/>
    <w:qFormat/>
    <w:pPr>
      <w:suppressAutoHyphens w:val="true"/>
    </w:pPr>
    <w:rPr/>
  </w:style>
  <w:style w:type="paragraph" w:styleId="Podpisuser">
    <w:name w:val="Podpis (user)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Indeks">
    <w:name w:val="Indeks"/>
    <w:basedOn w:val="Normal"/>
    <w:qFormat/>
    <w:pPr>
      <w:suppressLineNumbers/>
      <w:suppressAutoHyphens w:val="true"/>
    </w:pPr>
    <w:rPr/>
  </w:style>
  <w:style w:type="paragraph" w:styleId="Zawartotabeli">
    <w:name w:val="Zawartość tabeli"/>
    <w:basedOn w:val="Normal"/>
    <w:qFormat/>
    <w:pPr>
      <w:suppressLineNumbers/>
      <w:suppressAutoHyphens w:val="true"/>
    </w:pPr>
    <w:rPr/>
  </w:style>
  <w:style w:type="paragraph" w:styleId="Cytatblokowy">
    <w:name w:val="Cytat blokowy"/>
    <w:basedOn w:val="Normal"/>
    <w:qFormat/>
    <w:pPr>
      <w:tabs>
        <w:tab w:val="clear" w:pos="709"/>
      </w:tabs>
      <w:suppressAutoHyphens w:val="true"/>
      <w:spacing w:before="0" w:after="283"/>
      <w:ind w:start="567" w:end="567"/>
    </w:pPr>
    <w:rPr/>
  </w:style>
  <w:style w:type="paragraph" w:styleId="Nagwek">
    <w:name w:val="Nagłówek"/>
    <w:basedOn w:val="Normal"/>
    <w:next w:val="BodyText"/>
    <w:qFormat/>
    <w:pPr>
      <w:keepNext w:val="true"/>
      <w:suppressAutoHyphens w:val="true"/>
      <w:spacing w:before="240" w:after="120"/>
    </w:pPr>
    <w:rPr>
      <w:rFonts w:ascii="Liberation Sans" w:hAnsi="Liberation Sans"/>
      <w:sz w:val="28"/>
      <w:szCs w:val="28"/>
    </w:rPr>
  </w:style>
  <w:style w:type="paragraph" w:styleId="Tytuuser">
    <w:name w:val="Tytuł (user)"/>
    <w:basedOn w:val="Nagwekuser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Podtytuuser">
    <w:name w:val="Podtytuł (user)"/>
    <w:basedOn w:val="Nagwekuser"/>
    <w:next w:val="BodyText"/>
    <w:qFormat/>
    <w:pPr>
      <w:suppressAutoHyphens w:val="true"/>
      <w:spacing w:before="60" w:after="0"/>
      <w:jc w:val="center"/>
    </w:pPr>
    <w:rPr>
      <w:sz w:val="36"/>
      <w:szCs w:val="36"/>
    </w:rPr>
  </w:style>
  <w:style w:type="paragraph" w:styleId="Nagwektabeli">
    <w:name w:val="Nagłówek tabeli"/>
    <w:basedOn w:val="Zawartotabeli"/>
    <w:qFormat/>
    <w:pPr>
      <w:suppressAutoHyphens w:val="true"/>
      <w:jc w:val="center"/>
    </w:pPr>
    <w:rPr>
      <w:b/>
      <w:bCs/>
    </w:rPr>
  </w:style>
  <w:style w:type="paragraph" w:styleId="Stopkauser">
    <w:name w:val="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  <w:suppressAutoHyphens w:val="true"/>
    </w:pPr>
    <w:rPr/>
  </w:style>
  <w:style w:type="paragraph" w:styleId="Nagwek10">
    <w:name w:val="Nagłówek 10"/>
    <w:basedOn w:val="Nagwek"/>
    <w:next w:val="BodyText"/>
    <w:qFormat/>
    <w:pPr>
      <w:suppressAutoHyphens w:val="true"/>
      <w:spacing w:before="60" w:after="60"/>
    </w:pPr>
    <w:rPr>
      <w:b/>
      <w:bCs/>
      <w:sz w:val="18"/>
      <w:szCs w:val="18"/>
    </w:rPr>
  </w:style>
  <w:style w:type="paragraph" w:styleId="Footer">
    <w:name w:val="footer"/>
    <w:basedOn w:val="Gwkaistopka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chart" Target="charts/chart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c:chart>
    <c:title>
      <c:tx>
        <c:rich>
          <a:bodyPr rot="0"/>
          <a:lstStyle/>
          <a:p>
            <a:pPr>
              <a:defRPr lang="pl-PL" sz="1300" b="0" u="none" strike="noStrike">
                <a:solidFill>
                  <a:srgbClr val="000000"/>
                </a:solidFill>
                <a:uFillTx/>
                <a:latin typeface="Calibri"/>
              </a:defRPr>
            </a:pPr>
            <a:r>
              <a:rPr lang="pl-PL" sz="1300" b="0" u="none" strike="noStrike">
                <a:solidFill>
                  <a:srgbClr val="000000"/>
                </a:solidFill>
                <a:uFillTx/>
                <a:latin typeface="Calibri"/>
              </a:rPr>
              <a:t>Zapewnienie rodzinom wsparcia materialnego i dożywiania dzieci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layout>
        <c:manualLayout>
          <c:xMode val="edge"/>
          <c:yMode val="edge"/>
          <c:x val="0.0123851378345985"/>
          <c:y val="0.120067170445004"/>
          <c:w val="0.678956680554763"/>
          <c:h val="0.85751469353484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Zasiłki  celowe</c:v>
                </c:pt>
              </c:strCache>
            </c:strRef>
          </c:tx>
          <c:spPr>
            <a:solidFill>
              <a:srgbClr val="004586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"/>
                <c:pt idx="0">
                  <c:v>727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Zasiłki okresowe</c:v>
                </c:pt>
              </c:strCache>
            </c:strRef>
          </c:tx>
          <c:spPr>
            <a:solidFill>
              <a:srgbClr val="ff420e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"/>
                <c:pt idx="0">
                  <c:v>654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Dodatek mieszkaniowy</c:v>
                </c:pt>
              </c:strCache>
            </c:strRef>
          </c:tx>
          <c:spPr>
            <a:solidFill>
              <a:srgbClr val="ffd320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1"/>
                <c:pt idx="0">
                  <c:v>1089</c:v>
                </c:pt>
              </c:numCache>
            </c:numRef>
          </c:val>
        </c:ser>
        <c:ser>
          <c:idx val="3"/>
          <c:order val="3"/>
          <c:tx>
            <c:strRef>
              <c:f>label 3</c:f>
              <c:strCache>
                <c:ptCount val="1"/>
                <c:pt idx="0">
                  <c:v>Stypendium</c:v>
                </c:pt>
              </c:strCache>
            </c:strRef>
          </c:tx>
          <c:spPr>
            <a:solidFill>
              <a:srgbClr val="7e0021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3</c:f>
              <c:numCache>
                <c:formatCode>General</c:formatCode>
                <c:ptCount val="1"/>
                <c:pt idx="0">
                  <c:v>70</c:v>
                </c:pt>
              </c:numCache>
            </c:numRef>
          </c:val>
        </c:ser>
        <c:ser>
          <c:idx val="4"/>
          <c:order val="4"/>
          <c:tx>
            <c:strRef>
              <c:f>label 4</c:f>
              <c:strCache>
                <c:ptCount val="1"/>
                <c:pt idx="0">
                  <c:v>Zasiłek szkolny</c:v>
                </c:pt>
              </c:strCache>
            </c:strRef>
          </c:tx>
          <c:spPr>
            <a:solidFill>
              <a:srgbClr val="83caff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4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ser>
          <c:idx val="5"/>
          <c:order val="5"/>
          <c:tx>
            <c:strRef>
              <c:f>label 5</c:f>
              <c:strCache>
                <c:ptCount val="1"/>
                <c:pt idx="0">
                  <c:v>Św. rodzinne - świadczenie wychowawcze</c:v>
                </c:pt>
              </c:strCache>
            </c:strRef>
          </c:tx>
          <c:spPr>
            <a:solidFill>
              <a:srgbClr val="314004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5</c:f>
              <c:numCache>
                <c:formatCode>General</c:formatCode>
                <c:ptCount val="1"/>
                <c:pt idx="0">
                  <c:v>0</c:v>
                </c:pt>
              </c:numCache>
            </c:numRef>
          </c:val>
        </c:ser>
        <c:ser>
          <c:idx val="6"/>
          <c:order val="6"/>
          <c:tx>
            <c:strRef>
              <c:f>label 6</c:f>
              <c:strCache>
                <c:ptCount val="1"/>
                <c:pt idx="0">
                  <c:v>- zasiłki rodzinne</c:v>
                </c:pt>
              </c:strCache>
            </c:strRef>
          </c:tx>
          <c:spPr>
            <a:solidFill>
              <a:srgbClr val="aecf00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6</c:f>
              <c:numCache>
                <c:formatCode>General</c:formatCode>
                <c:ptCount val="1"/>
                <c:pt idx="0">
                  <c:v>22249</c:v>
                </c:pt>
              </c:numCache>
            </c:numRef>
          </c:val>
        </c:ser>
        <c:ser>
          <c:idx val="7"/>
          <c:order val="7"/>
          <c:tx>
            <c:strRef>
              <c:f>label 7</c:f>
              <c:strCache>
                <c:ptCount val="1"/>
                <c:pt idx="0">
                  <c:v>- świadczenia za życiem</c:v>
                </c:pt>
              </c:strCache>
            </c:strRef>
          </c:tx>
          <c:spPr>
            <a:solidFill>
              <a:srgbClr val="4b1f6f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7</c:f>
              <c:numCache>
                <c:formatCode>General</c:formatCode>
                <c:ptCount val="1"/>
                <c:pt idx="0">
                  <c:v>5</c:v>
                </c:pt>
              </c:numCache>
            </c:numRef>
          </c:val>
        </c:ser>
        <c:ser>
          <c:idx val="8"/>
          <c:order val="8"/>
          <c:tx>
            <c:strRef>
              <c:f>label 8</c:f>
              <c:strCache>
                <c:ptCount val="1"/>
                <c:pt idx="0">
                  <c:v>-świadczenie rodzicielskie</c:v>
                </c:pt>
              </c:strCache>
            </c:strRef>
          </c:tx>
          <c:spPr>
            <a:solidFill>
              <a:srgbClr val="ff950e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8</c:f>
              <c:numCache>
                <c:formatCode>General</c:formatCode>
                <c:ptCount val="1"/>
                <c:pt idx="0">
                  <c:v>838</c:v>
                </c:pt>
              </c:numCache>
            </c:numRef>
          </c:val>
        </c:ser>
        <c:ser>
          <c:idx val="9"/>
          <c:order val="9"/>
          <c:tx>
            <c:strRef>
              <c:f>label 9</c:f>
              <c:strCache>
                <c:ptCount val="1"/>
                <c:pt idx="0">
                  <c:v>- zasiłek pielęgnacyjny</c:v>
                </c:pt>
              </c:strCache>
            </c:strRef>
          </c:tx>
          <c:spPr>
            <a:solidFill>
              <a:srgbClr val="c5000b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9</c:f>
              <c:numCache>
                <c:formatCode>General</c:formatCode>
                <c:ptCount val="1"/>
                <c:pt idx="0">
                  <c:v>29018</c:v>
                </c:pt>
              </c:numCache>
            </c:numRef>
          </c:val>
        </c:ser>
        <c:ser>
          <c:idx val="10"/>
          <c:order val="10"/>
          <c:tx>
            <c:strRef>
              <c:f>label 10</c:f>
              <c:strCache>
                <c:ptCount val="1"/>
                <c:pt idx="0">
                  <c:v>- jednorazowa zapomoga z tytułu urodzenia dziecka (becikowe)</c:v>
                </c:pt>
              </c:strCache>
            </c:strRef>
          </c:tx>
          <c:spPr>
            <a:solidFill>
              <a:srgbClr val="0084d1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10</c:f>
              <c:numCache>
                <c:formatCode>General</c:formatCode>
                <c:ptCount val="1"/>
                <c:pt idx="0">
                  <c:v>123</c:v>
                </c:pt>
              </c:numCache>
            </c:numRef>
          </c:val>
        </c:ser>
        <c:ser>
          <c:idx val="11"/>
          <c:order val="11"/>
          <c:tx>
            <c:strRef>
              <c:f>label 11</c:f>
              <c:strCache>
                <c:ptCount val="1"/>
                <c:pt idx="0">
                  <c:v>- świadczenie alimentacyjne</c:v>
                </c:pt>
              </c:strCache>
            </c:strRef>
          </c:tx>
          <c:spPr>
            <a:solidFill>
              <a:srgbClr val="004586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11</c:f>
              <c:numCache>
                <c:formatCode>General</c:formatCode>
                <c:ptCount val="1"/>
                <c:pt idx="0">
                  <c:v>4438</c:v>
                </c:pt>
              </c:numCache>
            </c:numRef>
          </c:val>
        </c:ser>
        <c:ser>
          <c:idx val="12"/>
          <c:order val="12"/>
          <c:tx>
            <c:strRef>
              <c:f>label 12</c:f>
              <c:strCache>
                <c:ptCount val="1"/>
                <c:pt idx="0">
                  <c:v>Dobry Start</c:v>
                </c:pt>
              </c:strCache>
            </c:strRef>
          </c:tx>
          <c:spPr>
            <a:solidFill>
              <a:srgbClr val="ff420e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12</c:f>
              <c:numCache>
                <c:formatCode>General</c:formatCode>
                <c:ptCount val="1"/>
                <c:pt idx="0">
                  <c:v>6900</c:v>
                </c:pt>
              </c:numCache>
            </c:numRef>
          </c:val>
        </c:ser>
        <c:ser>
          <c:idx val="13"/>
          <c:order val="13"/>
          <c:tx>
            <c:strRef>
              <c:f>label 13</c:f>
              <c:strCache>
                <c:ptCount val="1"/>
                <c:pt idx="0">
                  <c:v>Dożywianie (szkoła, przedszkole, żłobek)</c:v>
                </c:pt>
              </c:strCache>
            </c:strRef>
          </c:tx>
          <c:spPr>
            <a:solidFill>
              <a:srgbClr val="ffd320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13</c:f>
              <c:numCache>
                <c:formatCode>General</c:formatCode>
                <c:ptCount val="1"/>
                <c:pt idx="0">
                  <c:v>282</c:v>
                </c:pt>
              </c:numCache>
            </c:numRef>
          </c:val>
        </c:ser>
        <c:ser>
          <c:idx val="14"/>
          <c:order val="14"/>
          <c:tx>
            <c:strRef>
              <c:f>label 14</c:f>
              <c:strCache>
                <c:ptCount val="1"/>
                <c:pt idx="0">
                  <c:v>Świadczenie wychowawcze (ZUS)</c:v>
                </c:pt>
              </c:strCache>
            </c:strRef>
          </c:tx>
          <c:spPr>
            <a:solidFill>
              <a:srgbClr val="579d1c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14</c:f>
              <c:numCache>
                <c:formatCode>General</c:formatCode>
                <c:ptCount val="1"/>
                <c:pt idx="0">
                  <c:v>10001</c:v>
                </c:pt>
              </c:numCache>
            </c:numRef>
          </c:val>
        </c:ser>
        <c:ser>
          <c:idx val="15"/>
          <c:order val="15"/>
          <c:tx>
            <c:strRef>
              <c:f>label 15</c:f>
              <c:strCache>
                <c:ptCount val="1"/>
                <c:pt idx="0">
                  <c:v>"Dobry Start" (ZUS)</c:v>
                </c:pt>
              </c:strCache>
            </c:strRef>
          </c:tx>
          <c:spPr>
            <a:solidFill>
              <a:srgbClr val="7e0021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15</c:f>
              <c:numCache>
                <c:formatCode>General</c:formatCode>
                <c:ptCount val="1"/>
                <c:pt idx="0">
                  <c:v>5220</c:v>
                </c:pt>
              </c:numCache>
            </c:numRef>
          </c:val>
        </c:ser>
        <c:ser>
          <c:idx val="16"/>
          <c:order val="16"/>
          <c:tx>
            <c:strRef>
              <c:f>label 16</c:f>
              <c:strCache>
                <c:ptCount val="1"/>
                <c:pt idx="0">
                  <c:v>Zasiłek celowy program rządowy</c:v>
                </c:pt>
              </c:strCache>
            </c:strRef>
          </c:tx>
          <c:spPr>
            <a:solidFill>
              <a:srgbClr val="83caff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16</c:f>
              <c:numCache>
                <c:formatCode>General</c:formatCode>
                <c:ptCount val="1"/>
                <c:pt idx="0">
                  <c:v>103</c:v>
                </c:pt>
              </c:numCache>
            </c:numRef>
          </c:val>
        </c:ser>
        <c:ser>
          <c:idx val="17"/>
          <c:order val="17"/>
          <c:tx>
            <c:strRef>
              <c:f>label 17</c:f>
              <c:strCache>
                <c:ptCount val="1"/>
                <c:pt idx="0">
                  <c:v>świadczenie pielęgnacyjne ne na starych zasadach obowiązujących do 31.12.2023r.</c:v>
                </c:pt>
              </c:strCache>
            </c:strRef>
          </c:tx>
          <c:spPr>
            <a:solidFill>
              <a:srgbClr val="b3b3b3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17</c:f>
              <c:numCache>
                <c:formatCode>General</c:formatCode>
                <c:ptCount val="1"/>
                <c:pt idx="0">
                  <c:v>4050</c:v>
                </c:pt>
              </c:numCache>
            </c:numRef>
          </c:val>
        </c:ser>
        <c:ser>
          <c:idx val="18"/>
          <c:order val="18"/>
          <c:tx>
            <c:strRef>
              <c:f>label 18</c:f>
              <c:strCache>
                <c:ptCount val="1"/>
                <c:pt idx="0">
                  <c:v>świadczenie pielęgnacyjne na zasadach obowiązujących od 01.01.2024r.</c:v>
                </c:pt>
              </c:strCache>
            </c:strRef>
          </c:tx>
          <c:spPr>
            <a:solidFill>
              <a:srgbClr val="aecf00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sz="1000" b="0" u="none" strike="noStrike">
                    <a:uFillTx/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"/>
                <c:pt idx="0">
                  <c:v>Ilość rodzin, którym udzielono pomocy</c:v>
                </c:pt>
              </c:strCache>
            </c:strRef>
          </c:cat>
          <c:val>
            <c:numRef>
              <c:f>18</c:f>
              <c:numCache>
                <c:formatCode>General</c:formatCode>
                <c:ptCount val="1"/>
                <c:pt idx="0">
                  <c:v>2148</c:v>
                </c:pt>
              </c:numCache>
            </c:numRef>
          </c:val>
        </c:ser>
        <c:gapWidth val="150"/>
        <c:overlap val="0"/>
        <c:axId val="79953612"/>
        <c:axId val="27039204"/>
      </c:barChart>
      <c:catAx>
        <c:axId val="7995361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spPr>
          <a:ln w="6480">
            <a:solidFill>
              <a:srgbClr val="b3b3b3"/>
            </a:solidFill>
            <a:round/>
          </a:ln>
        </c:spPr>
        <c:txPr>
          <a:bodyPr/>
          <a:lstStyle/>
          <a:p>
            <a:pPr>
              <a:defRPr lang="pl-PL" sz="799" b="0" u="none" strike="noStrike">
                <a:solidFill>
                  <a:srgbClr val="000000"/>
                </a:solidFill>
                <a:uFillTx/>
                <a:latin typeface="Calibri"/>
              </a:defRPr>
            </a:pPr>
          </a:p>
        </c:txPr>
        <c:crossAx val="27039204"/>
        <c:crossesAt val="0"/>
        <c:auto val="1"/>
        <c:lblAlgn val="ctr"/>
        <c:lblOffset val="100"/>
        <c:noMultiLvlLbl val="0"/>
      </c:catAx>
      <c:valAx>
        <c:axId val="27039204"/>
        <c:scaling>
          <c:orientation val="minMax"/>
        </c:scaling>
        <c:delete val="0"/>
        <c:axPos val="l"/>
        <c:majorGridlines>
          <c:spPr>
            <a:ln w="6480">
              <a:solidFill>
                <a:srgbClr val="b3b3b3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solidFill>
              <a:srgbClr val="b3b3b3"/>
            </a:solidFill>
            <a:round/>
          </a:ln>
        </c:spPr>
        <c:txPr>
          <a:bodyPr/>
          <a:lstStyle/>
          <a:p>
            <a:pPr>
              <a:defRPr lang="pl-PL" sz="799" b="0" u="none" strike="noStrike">
                <a:solidFill>
                  <a:srgbClr val="000000"/>
                </a:solidFill>
                <a:uFillTx/>
                <a:latin typeface="Calibri"/>
              </a:defRPr>
            </a:pPr>
          </a:p>
        </c:txPr>
        <c:crossAx val="79953612"/>
        <c:crosses val="min"/>
        <c:crossBetween val="between"/>
      </c:valAx>
      <c:spPr>
        <a:noFill/>
        <a:ln w="9360">
          <a:solidFill>
            <a:srgbClr val="b3b3b3"/>
          </a:solidFill>
          <a:round/>
        </a:ln>
      </c:spPr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lang="pl-PL" sz="799" b="0" u="none" strike="noStrike">
              <a:solidFill>
                <a:srgbClr val="000000"/>
              </a:solidFill>
              <a:uFillTx/>
              <a:latin typeface="Calibri"/>
            </a:defRPr>
          </a:pPr>
        </a:p>
      </c:txPr>
    </c:legend>
    <c:plotVisOnly val="0"/>
    <c:dispBlanksAs val="gap"/>
  </c:chart>
  <c:spPr>
    <a:solidFill>
      <a:srgbClr val="ffffff"/>
    </a:solidFill>
    <a:ln w="0">
      <a:noFill/>
    </a:ln>
  </c:spPr>
</c:chartSpace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LibreOffice/25.8.5.2$Windows_X86_64 LibreOffice_project/9c8b85f387cc00a89945a79c9e6239f32e450ac2</Application>
  <AppVersion>15.0000</AppVersion>
  <Pages>10</Pages>
  <Words>2205</Words>
  <Characters>13236</Characters>
  <CharactersWithSpaces>15411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2026-03-11T12:14:00Z</dcterms:created>
  <dc:creator>Łukasz ŁM. Michalczyk</dc:creator>
  <dc:description/>
  <dc:language>pl-PL</dc:language>
  <cp:lastModifiedBy>Łukasz ŁM. Michalczyk</cp:lastModifiedBy>
  <cp:lastPrinted>2026-03-11T09:24:00Z</cp:lastPrinted>
  <dcterms:modified xsi:type="dcterms:W3CDTF">2026-03-11T12:17:00Z</dcterms:modified>
  <cp:revision>3</cp:revision>
  <dc:subject/>
  <dc:title/>
</cp:coreProperties>
</file>