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both"/>
        <w:rPr/>
      </w:pPr>
      <w:r>
        <w:rPr/>
        <w:tab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2139315</wp:posOffset>
            </wp:positionH>
            <wp:positionV relativeFrom="paragraph">
              <wp:posOffset>1862455</wp:posOffset>
            </wp:positionV>
            <wp:extent cx="1596390" cy="1673860"/>
            <wp:effectExtent l="0" t="0" r="0" b="0"/>
            <wp:wrapTopAndBottom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7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>
          <w:rFonts w:ascii="Arial" w:hAnsi="Arial" w:cs="Arial"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40"/>
          <w:szCs w:val="40"/>
        </w:rPr>
      </w:pPr>
      <w:r>
        <w:rPr>
          <w:rFonts w:cs="Arial" w:ascii="Arial" w:hAnsi="Arial"/>
          <w:b/>
          <w:sz w:val="40"/>
          <w:szCs w:val="40"/>
        </w:rPr>
      </w:r>
    </w:p>
    <w:p>
      <w:pPr>
        <w:pStyle w:val="Normal"/>
        <w:spacing w:lineRule="auto" w:line="360"/>
        <w:jc w:val="center"/>
        <w:rPr>
          <w:rFonts w:eastAsia="TimesNewRomanPS-BoldMT" w:cs="TimesNewRomanPS-BoldMT"/>
          <w:b/>
          <w:bCs/>
          <w:sz w:val="28"/>
          <w:szCs w:val="28"/>
        </w:rPr>
      </w:pPr>
      <w:r>
        <w:rPr>
          <w:rFonts w:eastAsia="TimesNewRomanPS-BoldMT" w:cs="TimesNewRomanPS-BoldMT"/>
          <w:b/>
          <w:bCs/>
          <w:sz w:val="28"/>
          <w:szCs w:val="28"/>
        </w:rPr>
      </w:r>
    </w:p>
    <w:p>
      <w:pPr>
        <w:pStyle w:val="Normal"/>
        <w:spacing w:lineRule="auto" w:line="360"/>
        <w:jc w:val="center"/>
        <w:rPr>
          <w:rFonts w:ascii="Calibri" w:hAnsi="Calibri" w:eastAsia="TimesNewRomanPS-BoldMT" w:cs="TimesNewRomanPS-BoldMT"/>
          <w:b/>
          <w:bCs/>
          <w:sz w:val="40"/>
          <w:szCs w:val="40"/>
        </w:rPr>
      </w:pPr>
      <w:r>
        <w:rPr>
          <w:rFonts w:eastAsia="TimesNewRomanPS-BoldMT" w:cs="TimesNewRomanPS-BoldMT" w:ascii="Calibri" w:hAnsi="Calibri"/>
          <w:b/>
          <w:bCs/>
          <w:sz w:val="40"/>
          <w:szCs w:val="40"/>
        </w:rPr>
        <w:t>Sprawozdanie za rok 2025</w:t>
      </w:r>
    </w:p>
    <w:p>
      <w:pPr>
        <w:pStyle w:val="Normal"/>
        <w:spacing w:lineRule="auto" w:line="360"/>
        <w:jc w:val="center"/>
        <w:rPr/>
      </w:pPr>
      <w:r>
        <w:rPr>
          <w:rStyle w:val="Domylnaczcionkaakapitu"/>
          <w:rFonts w:eastAsia="TimesNewRomanPS-BoldMT" w:cs="TimesNewRomanPS-BoldMT" w:ascii="Calibri" w:hAnsi="Calibri"/>
          <w:b/>
          <w:bCs/>
          <w:sz w:val="40"/>
          <w:szCs w:val="40"/>
        </w:rPr>
        <w:t>z zakresu wspierania rodziny</w:t>
      </w:r>
      <w:r>
        <w:rPr>
          <w:rStyle w:val="Domylnaczcionkaakapitu"/>
          <w:rFonts w:cs="Arial" w:ascii="Calibri" w:hAnsi="Calibri"/>
          <w:b/>
          <w:bCs/>
          <w:sz w:val="40"/>
          <w:szCs w:val="40"/>
        </w:rPr>
        <w:t xml:space="preserve"> </w:t>
      </w:r>
    </w:p>
    <w:p>
      <w:pPr>
        <w:pStyle w:val="Normal"/>
        <w:autoSpaceDE w:val="false"/>
        <w:spacing w:lineRule="auto" w:line="360"/>
        <w:rPr>
          <w:rFonts w:ascii="Calibri" w:hAnsi="Calibri" w:cs="TimesNewRomanPS-BoldMT"/>
          <w:b/>
          <w:bCs/>
          <w:i/>
          <w:iCs/>
          <w:sz w:val="40"/>
          <w:szCs w:val="40"/>
        </w:rPr>
      </w:pPr>
      <w:r>
        <w:rPr>
          <w:rFonts w:cs="TimesNewRomanPS-BoldMT" w:ascii="Calibri" w:hAnsi="Calibri"/>
          <w:b/>
          <w:bCs/>
          <w:i/>
          <w:iCs/>
          <w:sz w:val="40"/>
          <w:szCs w:val="40"/>
        </w:rPr>
      </w:r>
    </w:p>
    <w:p>
      <w:pPr>
        <w:pStyle w:val="Normal"/>
        <w:autoSpaceDE w:val="false"/>
        <w:spacing w:lineRule="auto" w:line="360"/>
        <w:jc w:val="both"/>
        <w:rPr>
          <w:rFonts w:cs="TimesNewRomanPS-BoldMT"/>
          <w:b/>
          <w:bCs/>
          <w:i/>
          <w:iCs/>
          <w:sz w:val="40"/>
          <w:szCs w:val="40"/>
        </w:rPr>
      </w:pPr>
      <w:r>
        <w:rPr>
          <w:rFonts w:cs="TimesNewRomanPS-BoldMT"/>
          <w:b/>
          <w:bCs/>
          <w:i/>
          <w:iCs/>
          <w:sz w:val="40"/>
          <w:szCs w:val="40"/>
        </w:rPr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center"/>
        <w:rPr/>
      </w:pPr>
      <w:r>
        <w:rPr>
          <w:rStyle w:val="Domylnaczcionkaakapitu"/>
          <w:rFonts w:cs="Calibri" w:ascii="Calibri" w:hAnsi="Calibri"/>
        </w:rPr>
        <w:t>Tomaszów Mazowiecki</w:t>
      </w:r>
    </w:p>
    <w:p>
      <w:pPr>
        <w:pStyle w:val="Normal"/>
        <w:spacing w:lineRule="auto" w:line="360"/>
        <w:jc w:val="center"/>
        <w:rPr>
          <w:rFonts w:ascii="Calibri" w:hAnsi="Calibri" w:cs="Calibri"/>
        </w:rPr>
      </w:pPr>
      <w:r>
        <w:rPr>
          <w:rFonts w:cs="Calibri" w:ascii="Calibri" w:hAnsi="Calibri"/>
        </w:rPr>
        <w:t>Marzec 2026 rok</w:t>
      </w:r>
    </w:p>
    <w:p>
      <w:pPr>
        <w:pStyle w:val="Normal"/>
        <w:spacing w:lineRule="auto" w:line="360"/>
        <w:jc w:val="center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ascii="Calibri" w:hAnsi="Calibri"/>
          <w:b/>
          <w:bCs/>
          <w:color w:val="000000"/>
        </w:rPr>
        <w:t>Piecza zastępcza</w:t>
      </w:r>
    </w:p>
    <w:p>
      <w:pPr>
        <w:pStyle w:val="Normal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ab/>
        <w:t>Dzieciom pozbawionym częściowo lub całkowicie opieki rodzicielskiej powiat zapewnia opiekę i wychowanie, między innymi w rodzinnej pieczy zastępczej.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Zasady zapewniania opieki i wychowania w rodzinnej pieczy zastępczej określa ustawa z dnia </w:t>
        <w:br/>
        <w:t>9 czerwca 2011 r. o wspieraniu rodziny i systemie pieczy zastępczej (Dz.U. z 2025r. poz. 49 z późn. zmianami).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 xml:space="preserve">Rodzinna piecza zastępcza jest formą opieki zastępczej zapewniającą dziecku wychowanie </w:t>
        <w:br/>
        <w:t>w rodzinie, stabilne środowisko wychowawcze, utrzymuje kontakty z rodziną naturalną, traktuje dziecko w sposób sprzyjający poczuciu godności i wartości osobistej, kształci, rozwija uzdolnienia dziecka, zainteresowania, akceptuje wyznanie religijne.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Formami rodzinnej pieczy zastępczej są:</w:t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1) Rodzina zastępcza:</w:t>
      </w:r>
    </w:p>
    <w:p>
      <w:pPr>
        <w:pStyle w:val="Normal"/>
        <w:tabs>
          <w:tab w:val="clear" w:pos="709"/>
        </w:tabs>
        <w:spacing w:lineRule="auto" w:line="360"/>
        <w:ind w:hanging="255" w:start="54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a) spokrewniona tworzona jest przez małżonków lub osobę, będących wstępnymi </w:t>
        <w:br/>
        <w:t>lub rodzeństwem dziecka; (tylko dziadkowie lub rodzeństwo),</w:t>
      </w:r>
    </w:p>
    <w:p>
      <w:pPr>
        <w:pStyle w:val="Normal"/>
        <w:tabs>
          <w:tab w:val="clear" w:pos="709"/>
        </w:tabs>
        <w:spacing w:lineRule="auto" w:line="360"/>
        <w:ind w:hanging="255" w:start="54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b) niezawodowa - mogą ją tworzyć małżonkowie lub osoba, niebędący wstępnymi </w:t>
        <w:br/>
        <w:t>lub rodzeństwem dziecka; (krewni i powinowaci, niespokrewnieni),</w:t>
      </w:r>
    </w:p>
    <w:p>
      <w:pPr>
        <w:pStyle w:val="Normal"/>
        <w:tabs>
          <w:tab w:val="clear" w:pos="709"/>
        </w:tabs>
        <w:spacing w:lineRule="auto" w:line="360"/>
        <w:ind w:hanging="255" w:start="540"/>
        <w:jc w:val="both"/>
        <w:rPr/>
      </w:pPr>
      <w:r>
        <w:rPr>
          <w:rStyle w:val="Domylnaczcionkaakapitu"/>
          <w:rFonts w:ascii="Calibri" w:hAnsi="Calibri"/>
          <w:color w:val="000000"/>
        </w:rPr>
        <w:t xml:space="preserve">c) zawodowa - </w:t>
      </w:r>
      <w:bookmarkStart w:id="0" w:name="page29R_mcid61"/>
      <w:bookmarkEnd w:id="0"/>
      <w:r>
        <w:rPr>
          <w:rStyle w:val="Domylnaczcionkaakapitu"/>
          <w:rFonts w:ascii="Calibri" w:hAnsi="Calibri"/>
        </w:rPr>
        <w:t xml:space="preserve">w tym zawodowa pełniąca funkcję pogotowia rodzinnego i zawodowa specjalistyczna </w:t>
      </w:r>
      <w:r>
        <w:rPr>
          <w:rStyle w:val="Domylnaczcionkaakapitu"/>
          <w:rFonts w:ascii="Calibri" w:hAnsi="Calibri"/>
          <w:color w:val="000000"/>
        </w:rPr>
        <w:t>małżonkowie lub osoba, niebędący wstępnymi lub rodzeństwem dziecka; otrzymuje wynagrodzenie za sprawowanie opieki i wychowania.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2) Rodzinny dom dziecka.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Umieszczenie dziecka w pieczy zastępczej powinno nastąpić po wyczerpaniu wszystkich form pomocy rodzicom dziecka, o których mowa w przepisach o wspieraniu rodziny i systemie pieczy zastępczej, chyba że dobro dziecka wymaga zapewnienia mu niezwłocznej pieczy zastępczej.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 xml:space="preserve">Umieszczenie dziecka w rodzinie zastępczej następuje na mocy postanowienia sądu rodzinnego. </w:t>
        <w:tab/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Rodziny zastępcze zapewniają dziecku warunki rozwoju i wychowania odpowiednio do jego stanu zdrowia, poziomu rozwoju.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W przypadku umieszczenia dziecka w rodzinie zastępczej albo w rodzinnym domu dziecka gmina właściwa ze względu na miejsce zamieszkania dziecka przed umieszczeniem go po raz pierwszy w pieczy zastępczej ponosi odpowiednio wydatki, w wysokości:</w:t>
      </w:r>
    </w:p>
    <w:p>
      <w:pPr>
        <w:pStyle w:val="Normal"/>
        <w:tabs>
          <w:tab w:val="clear" w:pos="709"/>
        </w:tabs>
        <w:spacing w:lineRule="auto" w:line="360"/>
        <w:ind w:hanging="300" w:start="285"/>
        <w:jc w:val="both"/>
        <w:rPr>
          <w:rFonts w:ascii="Calibri" w:hAnsi="Calibri"/>
        </w:rPr>
      </w:pPr>
      <w:r>
        <w:rPr>
          <w:rFonts w:ascii="Calibri" w:hAnsi="Calibri"/>
        </w:rPr>
        <w:t>1) 10% wydatków na opiekę i wychowanie dziecka – w pierwszym roku pobytu dziecka w pieczy zastępczej;</w:t>
      </w:r>
    </w:p>
    <w:p>
      <w:pPr>
        <w:pStyle w:val="Normal"/>
        <w:tabs>
          <w:tab w:val="clear" w:pos="709"/>
        </w:tabs>
        <w:spacing w:lineRule="auto" w:line="360"/>
        <w:ind w:hanging="285" w:start="285"/>
        <w:jc w:val="both"/>
        <w:rPr>
          <w:rFonts w:ascii="Calibri" w:hAnsi="Calibri"/>
        </w:rPr>
      </w:pPr>
      <w:r>
        <w:rPr>
          <w:rFonts w:ascii="Calibri" w:hAnsi="Calibri"/>
        </w:rPr>
        <w:t>2) 30% wydatków na opiekę i wychowanie dziecka – w drugim roku pobytu dziecka w pieczy zastępczej;</w:t>
      </w:r>
    </w:p>
    <w:p>
      <w:pPr>
        <w:pStyle w:val="Normal"/>
        <w:tabs>
          <w:tab w:val="clear" w:pos="709"/>
        </w:tabs>
        <w:spacing w:lineRule="auto" w:line="360"/>
        <w:ind w:hanging="285" w:start="285"/>
        <w:jc w:val="both"/>
        <w:rPr>
          <w:rFonts w:ascii="Calibri" w:hAnsi="Calibri"/>
        </w:rPr>
      </w:pPr>
      <w:r>
        <w:rPr>
          <w:rFonts w:ascii="Calibri" w:hAnsi="Calibri"/>
        </w:rPr>
        <w:t>3) 50% wydatków na opiekę i wychowanie dziecka – w trzecim roku i następnych latach pobytu dziecka w pieczy zastępczej.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</w:rPr>
      </w:pPr>
      <w:r>
        <w:rPr>
          <w:rFonts w:ascii="Calibri" w:hAnsi="Calibri"/>
        </w:rPr>
        <w:tab/>
        <w:t>Natomiast w przypadku umieszczenia dziecka w placówce opiekuńczo-wychowawczej, regionalnej placówce opiekuńczo-terapeutycznej albo interwencyjnym ośrodku preadopcyjnym gmina właściwa ze względu na miejsce zamieszkania dziecka przed umieszczeniem go po raz pierwszy w pieczy zastępczej ponosi odpowiednio wydatki, w wysokości: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</w:rPr>
      </w:pPr>
      <w:r>
        <w:rPr>
          <w:rFonts w:ascii="Calibri" w:hAnsi="Calibri"/>
        </w:rPr>
        <w:t>1) 10% w pierwszym roku pobytu dziecka w pieczy zastępczej,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/>
        </w:rPr>
      </w:pPr>
      <w:r>
        <w:rPr>
          <w:rFonts w:ascii="Calibri" w:hAnsi="Calibri"/>
        </w:rPr>
        <w:t>2) 30% w drugim roku pobytu dziecka w pieczy zastępczej,</w:t>
      </w:r>
    </w:p>
    <w:p>
      <w:pPr>
        <w:pStyle w:val="Normal"/>
        <w:tabs>
          <w:tab w:val="clear" w:pos="709"/>
        </w:tabs>
        <w:spacing w:lineRule="auto" w:line="360"/>
        <w:ind w:hanging="270" w:start="270"/>
        <w:jc w:val="both"/>
        <w:rPr>
          <w:rFonts w:ascii="Calibri" w:hAnsi="Calibri"/>
        </w:rPr>
      </w:pPr>
      <w:r>
        <w:rPr>
          <w:rFonts w:ascii="Calibri" w:hAnsi="Calibri"/>
        </w:rPr>
        <w:t>3) 50% w trzecim roku i następnych latach pobytu dziecka w pieczy zastępczej średnich miesięcznych wydatków przeznaczonych na utrzymanie dziecka w placówce opiekuńczo-wychowawczej, regionalnej placówce opiekuńczo-terapeutycznej albo interwencyjnym ośrodku preadopcyjnym.</w:t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>
          <w:rFonts w:ascii="Calibri" w:hAnsi="Calibri" w:eastAsia="TimesNewRomanPS-BoldMT" w:cs="TimesNewRomanPS-BoldMT"/>
        </w:rPr>
      </w:pPr>
      <w:r>
        <w:rPr>
          <w:rFonts w:eastAsia="TimesNewRomanPS-BoldMT" w:cs="TimesNewRomanPS-BoldMT" w:ascii="Calibri" w:hAnsi="Calibri"/>
        </w:rPr>
        <w:tab/>
      </w:r>
    </w:p>
    <w:p>
      <w:pPr>
        <w:pStyle w:val="Normal"/>
        <w:tabs>
          <w:tab w:val="clear" w:pos="709"/>
        </w:tabs>
        <w:spacing w:lineRule="auto" w:line="360"/>
        <w:ind w:start="15"/>
        <w:jc w:val="both"/>
        <w:rPr/>
      </w:pPr>
      <w:r>
        <w:rPr>
          <w:rStyle w:val="Domylnaczcionkaakapitu"/>
          <w:rFonts w:eastAsia="TimesNewRomanPS-BoldMT" w:cs="TimesNewRomanPS-BoldMT" w:ascii="Calibri" w:hAnsi="Calibri"/>
        </w:rPr>
        <w:tab/>
        <w:t xml:space="preserve">Zgodnie z art. 80 ustawy </w:t>
      </w:r>
      <w:r>
        <w:rPr>
          <w:rStyle w:val="Domylnaczcionkaakapitu"/>
          <w:rFonts w:eastAsia="TimesNewRomanPS-BoldMT" w:cs="TimesNewRomanPS-BoldMT" w:ascii="Calibri" w:hAnsi="Calibri"/>
          <w:color w:val="000000"/>
        </w:rPr>
        <w:t xml:space="preserve">o wspieraniu rodziny i systemie pieczy zastępczej – </w:t>
      </w:r>
      <w:r>
        <w:rPr>
          <w:rStyle w:val="Domylnaczcionkaakapitu"/>
          <w:rFonts w:eastAsia="TimesNewRomanPSMT" w:cs="TimesNewRomanPSMT" w:ascii="Calibri" w:hAnsi="Calibri"/>
        </w:rPr>
        <w:t>rodzinie zastępczej oraz prowadzącemu rodzinny dom dziecka, na każde umieszczone dziecko, przysługuje świadczenie na pokrycie kosztów jego utrzymania, nie niższe niż kwota: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 w:eastAsia="TimesNewRomanPSMT" w:cs="TimesNewRomanPSMT"/>
        </w:rPr>
      </w:pPr>
      <w:r>
        <w:rPr>
          <w:rFonts w:eastAsia="TimesNewRomanPSMT" w:cs="TimesNewRomanPSMT" w:ascii="Calibri" w:hAnsi="Calibri"/>
        </w:rPr>
        <w:t>1) 1 002,00 zł miesięcznie – w przypadku dziecka umieszczonego w rodzinie zastępczej spokrewnionej;</w:t>
      </w:r>
    </w:p>
    <w:p>
      <w:pPr>
        <w:pStyle w:val="Normal"/>
        <w:tabs>
          <w:tab w:val="clear" w:pos="709"/>
        </w:tabs>
        <w:autoSpaceDE w:val="false"/>
        <w:spacing w:lineRule="auto" w:line="360"/>
        <w:ind w:hanging="315" w:start="300"/>
        <w:jc w:val="both"/>
        <w:rPr>
          <w:rFonts w:ascii="Calibri" w:hAnsi="Calibri" w:eastAsia="TimesNewRomanPSMT" w:cs="TimesNewRomanPSMT"/>
        </w:rPr>
      </w:pPr>
      <w:r>
        <w:rPr>
          <w:rFonts w:eastAsia="TimesNewRomanPSMT" w:cs="TimesNewRomanPSMT" w:ascii="Calibri" w:hAnsi="Calibri"/>
        </w:rPr>
        <w:t>2)   1 517,00 zł miesięcznie – w przypadku dziecka umieszczonego w rodzinie zastępczej zawodowej, rodzinie zastępczej niezawodowej lub rodzinnym domu dziecka.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 w:eastAsia="TimesNewRomanPSMT" w:cs="TimesNewRomanPSMT"/>
        </w:rPr>
      </w:pPr>
      <w:r>
        <w:rPr>
          <w:rFonts w:eastAsia="TimesNewRomanPSMT" w:cs="TimesNewRomanPSMT" w:ascii="Calibri" w:hAnsi="Calibri"/>
        </w:rPr>
        <w:tab/>
      </w:r>
    </w:p>
    <w:p>
      <w:pPr>
        <w:pStyle w:val="Normal"/>
        <w:autoSpaceDE w:val="false"/>
        <w:spacing w:lineRule="auto" w:line="360"/>
        <w:ind w:firstLine="300"/>
        <w:jc w:val="both"/>
        <w:rPr>
          <w:rFonts w:ascii="Calibri" w:hAnsi="Calibri" w:eastAsia="TimesNewRomanPSMT" w:cs="TimesNewRomanPSMT"/>
        </w:rPr>
      </w:pPr>
      <w:r>
        <w:rPr>
          <w:rFonts w:eastAsia="TimesNewRomanPSMT" w:cs="TimesNewRomanPSMT" w:ascii="Calibri" w:hAnsi="Calibri"/>
        </w:rPr>
        <w:t>Rodzinie zastępczej oraz prowadzącemu rodzinny dom dziecka na dziecko legitymujące się orzeczeniem o niepełnosprawności lub orzeczeniem o znacznym lub umiarkowanym stopniu niepełnosprawności przysługuje dodatek nie mniejszy niż kwota 306,00 zł miesięcznie na pokrycie zwiększonych kosztów utrzymania tego dziecka.</w:t>
      </w:r>
    </w:p>
    <w:p>
      <w:pPr>
        <w:pStyle w:val="Normal"/>
        <w:autoSpaceDE w:val="false"/>
        <w:spacing w:lineRule="auto" w:line="360"/>
        <w:ind w:firstLine="300"/>
        <w:jc w:val="both"/>
        <w:rPr/>
      </w:pPr>
      <w:r>
        <w:rPr>
          <w:rStyle w:val="Domylnaczcionkaakapitu"/>
          <w:rFonts w:eastAsia="TimesNewRomanPSMT" w:cs="TimesNewRomanPSMT" w:ascii="Calibri" w:hAnsi="Calibri"/>
        </w:rPr>
        <w:t xml:space="preserve">Rodzinie zastępczej zawodowej na dziecko umieszczone na podstawie ustawy z dnia </w:t>
        <w:br/>
        <w:t>26 października 1982 r. o postępowaniu w sprawach nieletnich przysługuje dodatek nie niższy niż kwota 306,00 zł miesięcznie na pokrycie zwiększonych kosztów utrzymania tego dziecka.</w:t>
      </w:r>
    </w:p>
    <w:p>
      <w:pPr>
        <w:pStyle w:val="Normal"/>
        <w:autoSpaceDE w:val="false"/>
        <w:spacing w:lineRule="auto" w:line="360"/>
        <w:jc w:val="both"/>
        <w:rPr/>
      </w:pPr>
      <w:bookmarkStart w:id="1" w:name="page235R_mcid31"/>
      <w:bookmarkEnd w:id="1"/>
      <w:r>
        <w:rPr>
          <w:rStyle w:val="Domylnaczcionkaakapitu"/>
          <w:rFonts w:eastAsia="TimesNewRomanPSMT" w:cs="TimesNewRomanPSMT" w:ascii="Calibri" w:hAnsi="Calibri"/>
        </w:rPr>
        <w:tab/>
        <w:t xml:space="preserve">Wysokość kwot, o których mowa powyżej jest ogłaszana </w:t>
      </w:r>
      <w:bookmarkStart w:id="2" w:name="page235R_mcid3"/>
      <w:bookmarkEnd w:id="2"/>
      <w:r>
        <w:rPr>
          <w:rStyle w:val="Domylnaczcionkaakapitu"/>
          <w:rFonts w:ascii="Calibri" w:hAnsi="Calibri"/>
        </w:rPr>
        <w:t>w Dzienniku Urzędowym Rzeczypospolitej Polskiej „Monitor Polski”, w drodze obwieszczenia, przez ministra właściwego do spraw rodziny, w terminie do końca marca roku kalendarzowego, w którym jest przeprowadzana waloryzacja.</w:t>
      </w:r>
      <w:r>
        <w:br w:type="page"/>
      </w:r>
    </w:p>
    <w:p>
      <w:pPr>
        <w:pStyle w:val="Normalny"/>
        <w:suppressAutoHyphens w:val="false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tabs>
          <w:tab w:val="clear" w:pos="709"/>
          <w:tab w:val="left" w:pos="564" w:leader="none"/>
        </w:tabs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ab/>
        <w:t xml:space="preserve">W roku 2025 na opiekę i wychowanie za 162 dzieci wydatkowano kwotę </w:t>
      </w:r>
      <w:r>
        <w:rPr>
          <w:rStyle w:val="Domylnaczcionkaakapitu"/>
          <w:rFonts w:ascii="Calibri" w:hAnsi="Calibri"/>
          <w:b/>
          <w:bCs/>
          <w:color w:val="000000"/>
        </w:rPr>
        <w:t xml:space="preserve"> 2 099 404,91 zł. - </w:t>
      </w:r>
      <w:r>
        <w:rPr>
          <w:rStyle w:val="Domylnaczcionkaakapitu"/>
          <w:rFonts w:ascii="Calibri" w:hAnsi="Calibri"/>
          <w:color w:val="000000"/>
        </w:rPr>
        <w:t>zgodnie z % skalą wydatków ponoszonych przez gminę w pierwszym, drugim, trzecim i następnym roku pobytu dziecka w pieczy zastępczej następująco:</w:t>
      </w:r>
    </w:p>
    <w:p>
      <w:pPr>
        <w:pStyle w:val="Normal"/>
        <w:numPr>
          <w:ilvl w:val="0"/>
          <w:numId w:val="2"/>
        </w:numPr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10 %  -  dla  36 dzieci,</w:t>
      </w:r>
    </w:p>
    <w:p>
      <w:pPr>
        <w:pStyle w:val="Normal"/>
        <w:numPr>
          <w:ilvl w:val="0"/>
          <w:numId w:val="2"/>
        </w:numPr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30 %  -  dla  26 dzieci,</w:t>
      </w:r>
    </w:p>
    <w:p>
      <w:pPr>
        <w:pStyle w:val="Normal"/>
        <w:numPr>
          <w:ilvl w:val="0"/>
          <w:numId w:val="2"/>
        </w:numPr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50 %. -  dla  100 dzieci.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Środki finansowe na ten cel pochodziły w 100 %  z budżetu miasta.</w:t>
      </w:r>
    </w:p>
    <w:p>
      <w:pPr>
        <w:pStyle w:val="Normal"/>
        <w:tabs>
          <w:tab w:val="clear" w:pos="709"/>
          <w:tab w:val="left" w:pos="564" w:leader="none"/>
        </w:tabs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 xml:space="preserve">Odpłatność gminy tj. 10%, 30 %, 50 % przyznanej pomocy wraz z 10%, 30 %, 50 % udziałem gminy w kosztach wynagrodzenia, przekazywana jest do Powiatowego Centrum Pomocy Rodzinie </w:t>
        <w:br/>
        <w:t>w Tomaszowie Mazowieckim na podstawie wydanych decyzji administracyjnych oraz noty księgowej wraz z załączonym wykazem odpłatności.</w:t>
      </w:r>
    </w:p>
    <w:p>
      <w:pPr>
        <w:pStyle w:val="Normal"/>
        <w:tabs>
          <w:tab w:val="clear" w:pos="709"/>
          <w:tab w:val="left" w:pos="564" w:leader="none"/>
        </w:tabs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ab/>
        <w:t xml:space="preserve">Od dnia 1 lutego 2025 roku średni, miesięczny koszt utrzymania dziecka w placówce opiekuńczo – wychowawczej (Dom Dziecka „Słoneczko” ul. Nowowiejska, prowadzonej przez powiat tomaszowski i wynosił  </w:t>
      </w:r>
      <w:r>
        <w:rPr>
          <w:rStyle w:val="Domylnaczcionkaakapitu"/>
          <w:rFonts w:ascii="Calibri" w:hAnsi="Calibri"/>
          <w:color w:val="000000"/>
          <w:u w:val="single"/>
        </w:rPr>
        <w:t>8 435,69 zł.</w:t>
      </w:r>
    </w:p>
    <w:p>
      <w:pPr>
        <w:pStyle w:val="Normal"/>
        <w:tabs>
          <w:tab w:val="clear" w:pos="709"/>
          <w:tab w:val="left" w:pos="564" w:leader="none"/>
        </w:tabs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  <w:t>Natomiast miesięczne wydatki przeznaczane na utrzymanie dziecka w placówkach opiekuńczo – wychowawczych typu rodzinnego, prowadzonych przez: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  <w:u w:val="single"/>
        </w:rPr>
      </w:pPr>
      <w:r>
        <w:rPr>
          <w:rFonts w:ascii="Calibri" w:hAnsi="Calibri"/>
          <w:color w:val="000000"/>
          <w:u w:val="single"/>
        </w:rPr>
        <w:t>a)  powiat tomaszowski i wynosiły: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 xml:space="preserve">     </w:t>
      </w:r>
      <w:r>
        <w:rPr>
          <w:rStyle w:val="Domylnaczcionkaakapitu"/>
          <w:rFonts w:ascii="Calibri" w:hAnsi="Calibri"/>
          <w:color w:val="000000"/>
        </w:rPr>
        <w:t xml:space="preserve">-   Rodzinny Dom Dziecka  ul. Rycerska, Tomaszów Maz. - </w:t>
      </w:r>
      <w:r>
        <w:rPr>
          <w:rStyle w:val="Domylnaczcionkaakapitu"/>
          <w:rFonts w:ascii="Calibri" w:hAnsi="Calibri"/>
          <w:color w:val="000000"/>
          <w:u w:val="single"/>
        </w:rPr>
        <w:t xml:space="preserve"> 5 180,11 zł;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 xml:space="preserve">     </w:t>
      </w:r>
      <w:r>
        <w:rPr>
          <w:rStyle w:val="Domylnaczcionkaakapitu"/>
          <w:rFonts w:ascii="Calibri" w:hAnsi="Calibri"/>
          <w:color w:val="000000"/>
        </w:rPr>
        <w:t xml:space="preserve">-   Rodzinny Dom Dziecka  „Wrzosik” ul. Wrzosowa,  Tomaszów Maz. - </w:t>
      </w:r>
      <w:r>
        <w:rPr>
          <w:rStyle w:val="Domylnaczcionkaakapitu"/>
          <w:rFonts w:ascii="Calibri" w:hAnsi="Calibri"/>
          <w:color w:val="000000"/>
          <w:u w:val="single"/>
        </w:rPr>
        <w:t xml:space="preserve"> 4 929,09 zł.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  <w:u w:val="single"/>
        </w:rPr>
        <w:t>b)  powiat bełchatowski i wynosiły: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 xml:space="preserve">     </w:t>
      </w:r>
      <w:r>
        <w:rPr>
          <w:rStyle w:val="Domylnaczcionkaakapitu"/>
          <w:rFonts w:ascii="Calibri" w:hAnsi="Calibri"/>
          <w:color w:val="000000"/>
        </w:rPr>
        <w:t xml:space="preserve">-  Ośrodek Interwencyjno – Socjalizacyjny w Bełchatowie  - </w:t>
      </w:r>
      <w:r>
        <w:rPr>
          <w:rStyle w:val="Domylnaczcionkaakapitu"/>
          <w:rFonts w:ascii="Calibri" w:hAnsi="Calibri"/>
          <w:color w:val="000000"/>
          <w:u w:val="single"/>
        </w:rPr>
        <w:t>12 336,45 zł;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  <w:u w:val="single"/>
        </w:rPr>
        <w:t>c)  powiat tomaszowski i wynosiły: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 xml:space="preserve">-  Powiatowa Placówka Opiekuńczo – Wychowawcza w Żarnowie – </w:t>
      </w:r>
      <w:r>
        <w:rPr>
          <w:rStyle w:val="Domylnaczcionkaakapitu"/>
          <w:rFonts w:ascii="Calibri" w:hAnsi="Calibri"/>
          <w:color w:val="000000"/>
          <w:u w:val="single"/>
        </w:rPr>
        <w:t>8 140,00 zł;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  <w:u w:val="single"/>
        </w:rPr>
        <w:t>d)  powiat  opoczyński i wynosiły: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 xml:space="preserve">-  Powiatowa Placówka Opiekuńczo – Wychowawcza w Mroczkowie Gościnnym –  </w:t>
      </w:r>
      <w:r>
        <w:rPr>
          <w:rStyle w:val="Domylnaczcionkaakapitu"/>
          <w:rFonts w:ascii="Calibri" w:hAnsi="Calibri"/>
          <w:color w:val="000000"/>
          <w:u w:val="single"/>
        </w:rPr>
        <w:t>9 109,00 zł;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  <w:u w:val="single"/>
        </w:rPr>
        <w:t>e)  województwo mazowieckie i wynosiły: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 xml:space="preserve">-  Regionalna Placówka Opiekuńczo – Terapeutyczna w Raciążu – </w:t>
      </w:r>
      <w:r>
        <w:rPr>
          <w:rStyle w:val="Domylnaczcionkaakapitu"/>
          <w:rFonts w:ascii="Calibri" w:hAnsi="Calibri"/>
          <w:color w:val="000000"/>
          <w:u w:val="single"/>
        </w:rPr>
        <w:t>8 395,11 zł.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Normal"/>
        <w:tabs>
          <w:tab w:val="clear" w:pos="709"/>
          <w:tab w:val="left" w:pos="564" w:leader="none"/>
        </w:tabs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ab/>
        <w:t>Na rok 2026 zaplanowano w budżecie wydatków na powyższe zadanie kwotę 2 420 000,00 zł, która w trakcie roku budżetowego może ulec zwiększeniu.</w:t>
      </w:r>
    </w:p>
    <w:p>
      <w:pPr>
        <w:pStyle w:val="Normal"/>
        <w:autoSpaceDE w:val="false"/>
        <w:spacing w:lineRule="auto" w:line="360"/>
        <w:jc w:val="end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ab/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Liczba dzieci przebywająca w poszczególnej formie pieczy zastępczej: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>- spokrewniona rodzina zastępcza -  60 dzieci;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- niezawodowa rodzina zastępcza - 16 dzieci;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- zawodowa rodzina zastępcza - 14 dzieci;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- rodzinny dom dziecka – 22 dzieci;</w:t>
      </w:r>
    </w:p>
    <w:p>
      <w:pPr>
        <w:pStyle w:val="Normal"/>
        <w:autoSpaceDE w:val="false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- placówki opiekuńczo – wychowawcze  typu rodzinnego – 22 dzieci;</w:t>
      </w:r>
    </w:p>
    <w:p>
      <w:pPr>
        <w:pStyle w:val="Normal"/>
        <w:autoSpaceDE w:val="false"/>
        <w:spacing w:lineRule="auto" w:line="360"/>
        <w:jc w:val="both"/>
        <w:rPr/>
      </w:pPr>
      <w:r>
        <w:rPr>
          <w:rStyle w:val="Domylnaczcionkaakapitu"/>
          <w:rFonts w:ascii="Calibri" w:hAnsi="Calibri"/>
          <w:color w:val="000000"/>
        </w:rPr>
        <w:t>- placówki opiekuńczo – wychowawcze typu socjalizacyjnego - 17 dzieci.</w:t>
      </w:r>
    </w:p>
    <w:sectPr>
      <w:footerReference w:type="even" r:id="rId3"/>
      <w:footerReference w:type="default" r:id="rId4"/>
      <w:type w:val="nextPage"/>
      <w:pgSz w:w="11906" w:h="16838"/>
      <w:pgMar w:left="1134" w:right="1134" w:gutter="0" w:header="0" w:top="708" w:footer="708" w:bottom="90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OpenSymbol">
    <w:altName w:val="Arial Unicode MS"/>
    <w:charset w:val="ee" w:characterSet="windows-1250"/>
    <w:family w:val="auto"/>
    <w:pitch w:val="default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user"/>
      <w:jc w:val="end"/>
      <w:rPr/>
    </w:pPr>
    <w:bookmarkStart w:id="3" w:name="PageNumWizard_FOOTER_Domyślny_styl_stron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3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user"/>
      <w:jc w:val="end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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start"/>
      <w:pPr>
        <w:tabs>
          <w:tab w:val="num" w:pos="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start"/>
      <w:pPr>
        <w:tabs>
          <w:tab w:val="num" w:pos="0"/>
        </w:tabs>
        <w:ind w:star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start"/>
      <w:pPr>
        <w:tabs>
          <w:tab w:val="num" w:pos="0"/>
        </w:tabs>
        <w:ind w:star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start"/>
      <w:pPr>
        <w:tabs>
          <w:tab w:val="num" w:pos="0"/>
        </w:tabs>
        <w:ind w:star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start"/>
      <w:pPr>
        <w:tabs>
          <w:tab w:val="num" w:pos="0"/>
        </w:tabs>
        <w:ind w:star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start"/>
      <w:pPr>
        <w:tabs>
          <w:tab w:val="num" w:pos="0"/>
        </w:tabs>
        <w:ind w:start="360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evenAndOddHeaders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character" w:styleId="Domylnaczcionkaakapitu">
    <w:name w:val="Domyślna czcionka akapitu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WWCharLFO1LVL1">
    <w:name w:val="WW_CharLFO1LVL1"/>
    <w:qFormat/>
    <w:rPr>
      <w:rFonts w:ascii="OpenSymbol" w:hAnsi="OpenSymbol" w:eastAsia="OpenSymbol" w:cs="OpenSymbol"/>
    </w:rPr>
  </w:style>
  <w:style w:type="character" w:styleId="WWCharLFO1LVL2">
    <w:name w:val="WW_CharLFO1LVL2"/>
    <w:qFormat/>
    <w:rPr>
      <w:rFonts w:ascii="OpenSymbol" w:hAnsi="OpenSymbol" w:eastAsia="OpenSymbol" w:cs="OpenSymbol"/>
    </w:rPr>
  </w:style>
  <w:style w:type="character" w:styleId="WWCharLFO1LVL3">
    <w:name w:val="WW_CharLFO1LVL3"/>
    <w:qFormat/>
    <w:rPr>
      <w:rFonts w:ascii="OpenSymbol" w:hAnsi="OpenSymbol" w:eastAsia="OpenSymbol" w:cs="OpenSymbol"/>
    </w:rPr>
  </w:style>
  <w:style w:type="character" w:styleId="WWCharLFO1LVL4">
    <w:name w:val="WW_CharLFO1LVL4"/>
    <w:qFormat/>
    <w:rPr>
      <w:rFonts w:ascii="OpenSymbol" w:hAnsi="OpenSymbol" w:eastAsia="OpenSymbol" w:cs="OpenSymbol"/>
    </w:rPr>
  </w:style>
  <w:style w:type="character" w:styleId="WWCharLFO1LVL5">
    <w:name w:val="WW_CharLFO1LVL5"/>
    <w:qFormat/>
    <w:rPr>
      <w:rFonts w:ascii="OpenSymbol" w:hAnsi="OpenSymbol" w:eastAsia="OpenSymbol" w:cs="OpenSymbol"/>
    </w:rPr>
  </w:style>
  <w:style w:type="character" w:styleId="WWCharLFO1LVL6">
    <w:name w:val="WW_CharLFO1LVL6"/>
    <w:qFormat/>
    <w:rPr>
      <w:rFonts w:ascii="OpenSymbol" w:hAnsi="OpenSymbol" w:eastAsia="OpenSymbol" w:cs="OpenSymbol"/>
    </w:rPr>
  </w:style>
  <w:style w:type="character" w:styleId="WWCharLFO1LVL7">
    <w:name w:val="WW_CharLFO1LVL7"/>
    <w:qFormat/>
    <w:rPr>
      <w:rFonts w:ascii="OpenSymbol" w:hAnsi="OpenSymbol" w:eastAsia="OpenSymbol" w:cs="OpenSymbol"/>
    </w:rPr>
  </w:style>
  <w:style w:type="character" w:styleId="WWCharLFO1LVL8">
    <w:name w:val="WW_CharLFO1LVL8"/>
    <w:qFormat/>
    <w:rPr>
      <w:rFonts w:ascii="OpenSymbol" w:hAnsi="OpenSymbol" w:eastAsia="OpenSymbol" w:cs="OpenSymbol"/>
    </w:rPr>
  </w:style>
  <w:style w:type="character" w:styleId="WWCharLFO1LVL9">
    <w:name w:val="WW_CharLFO1LVL9"/>
    <w:qFormat/>
    <w:rPr>
      <w:rFonts w:ascii="OpenSymbol" w:hAnsi="OpenSymbol" w:eastAsia="OpenSymbol" w:cs="OpenSymbol"/>
    </w:rPr>
  </w:style>
  <w:style w:type="paragraph" w:styleId="Normalny">
    <w:name w:val="Normaln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auser">
    <w:name w:val="Lista (user)"/>
    <w:basedOn w:val="BodyText"/>
    <w:qFormat/>
    <w:pPr>
      <w:suppressAutoHyphens w:val="true"/>
    </w:pPr>
    <w:rPr/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Indeks">
    <w:name w:val="Indeks"/>
    <w:basedOn w:val="Normal"/>
    <w:qFormat/>
    <w:pPr>
      <w:suppressLineNumbers/>
      <w:suppressAutoHyphens w:val="true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Stopkauser">
    <w:name w:val="Stopka (user)"/>
    <w:basedOn w:val="Gwkaistopka"/>
    <w:qFormat/>
    <w:pPr>
      <w:suppressAutoHyphens w:val="true"/>
    </w:pPr>
    <w:rPr/>
  </w:style>
  <w:style w:type="paragraph" w:styleId="Footer">
    <w:name w:val="footer"/>
    <w:basedOn w:val="Gwkaistopka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LibreOffice/25.8.4.2$Windows_X86_64 LibreOffice_project/290daaa01b999472f0c7a3890eb6a550fd74c6df</Application>
  <AppVersion>15.0000</AppVersion>
  <Pages>1</Pages>
  <Words>966</Words>
  <Characters>5796</Characters>
  <CharactersWithSpaces>6749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2026-03-11T13:18:00Z</dcterms:created>
  <dc:creator>Łukasz ŁM. Michalczyk</dc:creator>
  <dc:description/>
  <dc:language>pl-PL</dc:language>
  <cp:lastModifiedBy>Łukasz ŁM. Michalczyk</cp:lastModifiedBy>
  <cp:lastPrinted>2026-03-11T13:43:00Z</cp:lastPrinted>
  <dcterms:modified xsi:type="dcterms:W3CDTF">2026-03-11T13:43:00Z</dcterms:modified>
  <cp:revision>6</cp:revision>
  <dc:subject/>
  <dc:title/>
</cp:coreProperties>
</file>