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rPr/>
      </w:pPr>
      <w:r>
        <w:rPr/>
      </w:r>
    </w:p>
    <w:p>
      <w:pPr>
        <w:pStyle w:val="BodyText"/>
        <w:rPr/>
      </w:pPr>
      <w:r>
        <w:rPr/>
      </w:r>
    </w:p>
    <w:p>
      <w:pPr>
        <w:pStyle w:val="BodyText"/>
        <w:rPr/>
      </w:pPr>
      <w:r>
        <w:rPr/>
      </w:r>
    </w:p>
    <w:p>
      <w:pPr>
        <w:pStyle w:val="Normal"/>
        <w:spacing w:lineRule="auto" w:line="276"/>
        <w:jc w:val="center"/>
        <w:rPr/>
      </w:pPr>
      <w:r>
        <w:rPr/>
      </w:r>
    </w:p>
    <w:p>
      <w:pPr>
        <w:pStyle w:val="Normal"/>
        <w:spacing w:lineRule="auto" w:line="276"/>
        <w:jc w:val="center"/>
        <w:rPr/>
      </w:pPr>
      <w:r>
        <w:rPr/>
        <w:drawing>
          <wp:anchor behindDoc="0" distT="0" distB="0" distL="0" distR="0" simplePos="0" locked="0" layoutInCell="0" allowOverlap="1" relativeHeight="2">
            <wp:simplePos x="0" y="0"/>
            <wp:positionH relativeFrom="column">
              <wp:posOffset>2575560</wp:posOffset>
            </wp:positionH>
            <wp:positionV relativeFrom="paragraph">
              <wp:posOffset>149860</wp:posOffset>
            </wp:positionV>
            <wp:extent cx="1039495" cy="1191895"/>
            <wp:effectExtent l="0" t="0" r="0" b="0"/>
            <wp:wrapTopAndBottom/>
            <wp:docPr id="1" name="Obr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2"/>
                    <pic:cNvPicPr>
                      <a:picLocks noChangeAspect="1" noChangeArrowheads="1"/>
                    </pic:cNvPicPr>
                  </pic:nvPicPr>
                  <pic:blipFill>
                    <a:blip r:embed="rId2"/>
                    <a:stretch>
                      <a:fillRect/>
                    </a:stretch>
                  </pic:blipFill>
                  <pic:spPr bwMode="auto">
                    <a:xfrm>
                      <a:off x="0" y="0"/>
                      <a:ext cx="1039495" cy="1191895"/>
                    </a:xfrm>
                    <a:prstGeom prst="rect">
                      <a:avLst/>
                    </a:prstGeom>
                    <a:noFill/>
                  </pic:spPr>
                </pic:pic>
              </a:graphicData>
            </a:graphic>
          </wp:anchor>
        </w:drawing>
      </w:r>
    </w:p>
    <w:p>
      <w:pPr>
        <w:pStyle w:val="Normal"/>
        <w:spacing w:lineRule="auto" w:line="276"/>
        <w:jc w:val="center"/>
        <w:rPr/>
      </w:pPr>
      <w:r>
        <w:rPr/>
      </w:r>
    </w:p>
    <w:p>
      <w:pPr>
        <w:pStyle w:val="Normal"/>
        <w:spacing w:lineRule="auto" w:line="276"/>
        <w:jc w:val="center"/>
        <w:rPr/>
      </w:pPr>
      <w:r>
        <w:rPr>
          <w:rStyle w:val="Domylnaczcionkaakapitu"/>
          <w:rFonts w:cs="Calibri" w:ascii="Calibri" w:hAnsi="Calibri"/>
          <w:i/>
          <w:iCs/>
          <w:sz w:val="48"/>
          <w:szCs w:val="48"/>
          <w:lang w:eastAsia="en-US" w:bidi="en-US"/>
        </w:rPr>
        <w:t>Sprawozdanie z realizacji</w:t>
      </w:r>
    </w:p>
    <w:p>
      <w:pPr>
        <w:pStyle w:val="Normal"/>
        <w:jc w:val="center"/>
        <w:rPr>
          <w:rFonts w:ascii="Calibri" w:hAnsi="Calibri"/>
          <w:sz w:val="44"/>
          <w:szCs w:val="44"/>
        </w:rPr>
      </w:pPr>
      <w:r>
        <w:rPr>
          <w:rFonts w:ascii="Calibri" w:hAnsi="Calibri"/>
          <w:sz w:val="44"/>
          <w:szCs w:val="44"/>
        </w:rPr>
        <w:t>MIEJSKIEGO PROGRAMU PRZECIWDZIAŁANIA PRZEMOCY DOMOWEJ</w:t>
      </w:r>
    </w:p>
    <w:p>
      <w:pPr>
        <w:pStyle w:val="Normal"/>
        <w:spacing w:lineRule="auto" w:line="276"/>
        <w:jc w:val="center"/>
        <w:rPr/>
      </w:pPr>
      <w:r>
        <w:rPr>
          <w:rStyle w:val="Domylnaczcionkaakapitu"/>
          <w:rFonts w:cs="Calibri" w:ascii="Calibri" w:hAnsi="Calibri"/>
          <w:sz w:val="44"/>
          <w:szCs w:val="44"/>
        </w:rPr>
        <w:tab/>
        <w:t xml:space="preserve">I OCHRONY OSÓB DOZNAJĄCYCH                      PRZEMOCY  DOMOWEJ                                                              NA LATA </w:t>
      </w:r>
      <w:r>
        <w:rPr>
          <w:rStyle w:val="Domylnaczcionkaakapitu"/>
          <w:rFonts w:cs="Calibri" w:ascii="Calibri" w:hAnsi="Calibri"/>
          <w:b/>
          <w:bCs/>
          <w:sz w:val="44"/>
          <w:szCs w:val="44"/>
          <w:lang w:eastAsia="en-US" w:bidi="en-US"/>
        </w:rPr>
        <w:t>2024 - 2030</w:t>
      </w:r>
    </w:p>
    <w:p>
      <w:pPr>
        <w:pStyle w:val="Normal"/>
        <w:spacing w:lineRule="auto" w:line="276"/>
        <w:jc w:val="center"/>
        <w:rPr/>
      </w:pPr>
      <w:r>
        <w:rPr>
          <w:rStyle w:val="Domylnaczcionkaakapitu"/>
          <w:rFonts w:cs="Calibri" w:ascii="Calibri" w:hAnsi="Calibri"/>
          <w:i/>
          <w:iCs/>
          <w:sz w:val="44"/>
          <w:szCs w:val="44"/>
          <w:lang w:eastAsia="en-US" w:bidi="en-US"/>
        </w:rPr>
        <w:t xml:space="preserve">za okres  </w:t>
      </w:r>
      <w:r>
        <w:rPr>
          <w:rStyle w:val="Domylnaczcionkaakapitu"/>
          <w:rFonts w:cs="Calibri" w:ascii="Calibri" w:hAnsi="Calibri"/>
          <w:b/>
          <w:bCs/>
          <w:i/>
          <w:iCs/>
          <w:sz w:val="44"/>
          <w:szCs w:val="44"/>
          <w:lang w:eastAsia="en-US" w:bidi="en-US"/>
        </w:rPr>
        <w:t>I - XII 2025</w:t>
      </w:r>
    </w:p>
    <w:p>
      <w:pPr>
        <w:pStyle w:val="Normal"/>
        <w:spacing w:lineRule="auto" w:line="360"/>
        <w:jc w:val="center"/>
        <w:rPr>
          <w:rFonts w:ascii="Calibri" w:hAnsi="Calibri" w:cs="Calibri"/>
          <w:sz w:val="44"/>
          <w:szCs w:val="44"/>
          <w:lang w:eastAsia="en-US" w:bidi="en-US"/>
        </w:rPr>
      </w:pPr>
      <w:r>
        <w:rPr>
          <w:rFonts w:cs="Calibri" w:ascii="Calibri" w:hAnsi="Calibri"/>
          <w:sz w:val="44"/>
          <w:szCs w:val="44"/>
          <w:lang w:eastAsia="en-US" w:bidi="en-US"/>
        </w:rPr>
      </w:r>
    </w:p>
    <w:p>
      <w:pPr>
        <w:pStyle w:val="Normal"/>
        <w:spacing w:lineRule="auto" w:line="360"/>
        <w:jc w:val="center"/>
        <w:rPr>
          <w:rFonts w:ascii="Calibri" w:hAnsi="Calibri" w:cs="Calibri"/>
          <w:sz w:val="52"/>
          <w:szCs w:val="52"/>
          <w:lang w:eastAsia="en-US" w:bidi="en-US"/>
        </w:rPr>
      </w:pPr>
      <w:r>
        <w:rPr>
          <w:rFonts w:cs="Calibri" w:ascii="Calibri" w:hAnsi="Calibri"/>
          <w:sz w:val="52"/>
          <w:szCs w:val="52"/>
          <w:lang w:eastAsia="en-US" w:bidi="en-US"/>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BodyText"/>
        <w:rPr/>
      </w:pPr>
      <w:r>
        <w:rPr/>
      </w:r>
    </w:p>
    <w:p>
      <w:pPr>
        <w:pStyle w:val="Normal"/>
        <w:spacing w:lineRule="auto" w:line="360"/>
        <w:ind w:end="227"/>
        <w:jc w:val="both"/>
        <w:rPr/>
      </w:pPr>
      <w:r>
        <w:rPr>
          <w:rStyle w:val="Domylnaczcionkaakapitu"/>
          <w:rFonts w:ascii="Calibri" w:hAnsi="Calibri"/>
        </w:rPr>
        <w:tab/>
        <w:t xml:space="preserve">Obowiązek dotyczący tworzenia gminnego systemu przeciwdziałania przemocy  domowej, w tym również opracowanie i realizacja gminnego programu przeciwdziałania  przemocy domowej i ochrony osób doznających przemocy domowej  wynika </w:t>
      </w:r>
      <w:r>
        <w:rPr>
          <w:rStyle w:val="Domylnaczcionkaakapitu"/>
          <w:rFonts w:ascii="Calibri" w:hAnsi="Calibri"/>
          <w:b/>
          <w:bCs/>
        </w:rPr>
        <w:t xml:space="preserve">z art. 6 ust. 2  ustawy  z dnia 29 lipca 2005 roku o przeciwdziałaniu przemocy domowej  </w:t>
      </w:r>
      <w:r>
        <w:rPr>
          <w:rStyle w:val="Domylnaczcionkaakapitu"/>
          <w:rFonts w:ascii="Calibri" w:hAnsi="Calibri"/>
        </w:rPr>
        <w:t>(Dz. U. z 2024 r.    poz. 424. 834)  i należy do zadań własnych gminy.</w:t>
      </w:r>
    </w:p>
    <w:p>
      <w:pPr>
        <w:pStyle w:val="BodyText"/>
        <w:spacing w:lineRule="auto" w:line="360"/>
        <w:jc w:val="both"/>
        <w:rPr>
          <w:rFonts w:ascii="Calibri" w:hAnsi="Calibri"/>
        </w:rPr>
      </w:pPr>
      <w:r>
        <w:rPr>
          <w:rFonts w:ascii="Calibri" w:hAnsi="Calibri"/>
        </w:rPr>
      </w:r>
    </w:p>
    <w:p>
      <w:pPr>
        <w:pStyle w:val="Standard"/>
        <w:spacing w:lineRule="auto" w:line="360"/>
        <w:jc w:val="both"/>
        <w:rPr/>
      </w:pPr>
      <w:r>
        <w:rPr>
          <w:rStyle w:val="Domylnaczcionkaakapitu"/>
          <w:rFonts w:cs="Calibri" w:ascii="Calibri" w:hAnsi="Calibri"/>
        </w:rPr>
        <w:tab/>
        <w:t xml:space="preserve">Celem strategicznym </w:t>
      </w:r>
      <w:r>
        <w:rPr>
          <w:rStyle w:val="Domylnaczcionkaakapitu"/>
          <w:rFonts w:eastAsia="Times New Roman" w:cs="Calibri" w:ascii="Calibri" w:hAnsi="Calibri"/>
          <w:b/>
          <w:bCs/>
          <w:i/>
          <w:iCs/>
          <w:color w:val="000000"/>
        </w:rPr>
        <w:t>Miejskiego Programu Przeciwdziałania Przemocy Domowej i Ochrony Osób Doznających Przemocy Domowej realizowanego w latach 2024-2030</w:t>
      </w:r>
      <w:r>
        <w:rPr>
          <w:rStyle w:val="Domylnaczcionkaakapitu"/>
          <w:rFonts w:eastAsia="Times New Roman" w:cs="Calibri" w:ascii="Calibri" w:hAnsi="Calibri"/>
          <w:color w:val="000000"/>
        </w:rPr>
        <w:t xml:space="preserve"> </w:t>
      </w:r>
      <w:r>
        <w:rPr>
          <w:rStyle w:val="Domylnaczcionkaakapitu"/>
          <w:rFonts w:cs="Calibri" w:ascii="Calibri" w:hAnsi="Calibri"/>
        </w:rPr>
        <w:t xml:space="preserve">jest zwiększenie skuteczności działań podmiotów i przedstawicieli służb społecznych w systemie pomocy osobom </w:t>
        <w:br/>
        <w:t>i rodzinom zagrożonym  przemocą domową.</w:t>
      </w:r>
    </w:p>
    <w:p>
      <w:pPr>
        <w:pStyle w:val="Standard"/>
        <w:spacing w:lineRule="auto" w:line="360"/>
        <w:jc w:val="both"/>
        <w:rPr>
          <w:rFonts w:ascii="Calibri" w:hAnsi="Calibri" w:cs="Calibri"/>
        </w:rPr>
      </w:pPr>
      <w:r>
        <w:rPr>
          <w:rFonts w:cs="Calibri" w:ascii="Calibri" w:hAnsi="Calibri"/>
        </w:rPr>
      </w:r>
    </w:p>
    <w:p>
      <w:pPr>
        <w:pStyle w:val="Normal"/>
        <w:spacing w:lineRule="auto" w:line="360"/>
        <w:jc w:val="both"/>
        <w:rPr>
          <w:rFonts w:ascii="Calibri" w:hAnsi="Calibri" w:cs="Calibri"/>
        </w:rPr>
      </w:pPr>
      <w:r>
        <w:rPr>
          <w:rFonts w:cs="Calibri" w:ascii="Calibri" w:hAnsi="Calibri"/>
        </w:rPr>
        <w:tab/>
        <w:t>Cele szczegółowe założone w Programie, są ze sobą ściśle powiązane i oscylują w czterech najważniejszych obszarach, wyznaczając główne kierunki działania Zespołu Interdyscyplinarnego oraz instytucji wspomagających.</w:t>
      </w:r>
    </w:p>
    <w:p>
      <w:pPr>
        <w:pStyle w:val="Standard"/>
        <w:spacing w:lineRule="auto" w:line="360"/>
        <w:jc w:val="both"/>
        <w:rPr>
          <w:rFonts w:ascii="Calibri" w:hAnsi="Calibri" w:cs="Calibri"/>
        </w:rPr>
      </w:pPr>
      <w:r>
        <w:rPr>
          <w:rFonts w:cs="Calibri" w:ascii="Calibri" w:hAnsi="Calibri"/>
        </w:rPr>
      </w:r>
    </w:p>
    <w:p>
      <w:pPr>
        <w:pStyle w:val="Standard"/>
        <w:spacing w:lineRule="auto" w:line="360"/>
        <w:jc w:val="both"/>
        <w:rPr/>
      </w:pPr>
      <w:r>
        <w:rPr>
          <w:rStyle w:val="Domylnaczcionkaakapitu"/>
          <w:rFonts w:cs="Calibri" w:ascii="Calibri" w:hAnsi="Calibri"/>
          <w:b/>
          <w:bCs/>
        </w:rPr>
        <w:t>1.</w:t>
      </w:r>
      <w:r>
        <w:rPr>
          <w:rStyle w:val="Domylnaczcionkaakapitu"/>
          <w:rFonts w:cs="Calibri" w:ascii="Calibri" w:hAnsi="Calibri"/>
        </w:rPr>
        <w:tab/>
        <w:t xml:space="preserve">Zwiększenie poziomu kompetencji przedstawicieli instytucji i podmiotów realizujących </w:t>
        <w:tab/>
        <w:t xml:space="preserve">zadania z zakresu przeciwdziałania przemocy domowej w celu podniesienia jakości                              </w:t>
        <w:tab/>
        <w:t>i dostępności świadczonych usług i zmniejszenie skali zjawiska na terenie miasta.</w:t>
      </w:r>
    </w:p>
    <w:p>
      <w:pPr>
        <w:pStyle w:val="Standard"/>
        <w:tabs>
          <w:tab w:val="clear" w:pos="709"/>
        </w:tabs>
        <w:spacing w:lineRule="auto" w:line="360"/>
        <w:ind w:start="720"/>
        <w:jc w:val="both"/>
        <w:rPr>
          <w:rFonts w:ascii="Calibri" w:hAnsi="Calibri" w:cs="Calibri"/>
        </w:rPr>
      </w:pPr>
      <w:r>
        <w:rPr>
          <w:rFonts w:cs="Calibri" w:ascii="Calibri" w:hAnsi="Calibri"/>
        </w:rPr>
      </w:r>
    </w:p>
    <w:p>
      <w:pPr>
        <w:pStyle w:val="Standard"/>
        <w:spacing w:lineRule="auto" w:line="360"/>
        <w:jc w:val="both"/>
        <w:rPr/>
      </w:pPr>
      <w:r>
        <w:rPr>
          <w:rStyle w:val="Domylnaczcionkaakapitu"/>
          <w:rFonts w:cs="Calibri" w:ascii="Calibri" w:hAnsi="Calibri"/>
          <w:b/>
          <w:bCs/>
        </w:rPr>
        <w:t>2.</w:t>
      </w:r>
      <w:r>
        <w:rPr>
          <w:rStyle w:val="Domylnaczcionkaakapitu"/>
          <w:rFonts w:cs="Calibri" w:ascii="Calibri" w:hAnsi="Calibri"/>
        </w:rPr>
        <w:tab/>
        <w:t>Wzmocnienie skuteczności ochrony, pomocy oraz wsparcia dla osób doznających przemocy domowej.</w:t>
      </w:r>
    </w:p>
    <w:p>
      <w:pPr>
        <w:pStyle w:val="Standard"/>
        <w:tabs>
          <w:tab w:val="clear" w:pos="709"/>
        </w:tabs>
        <w:spacing w:lineRule="auto" w:line="360"/>
        <w:ind w:start="720"/>
        <w:jc w:val="both"/>
        <w:rPr>
          <w:rFonts w:ascii="Calibri" w:hAnsi="Calibri" w:cs="Calibri"/>
        </w:rPr>
      </w:pPr>
      <w:r>
        <w:rPr>
          <w:rFonts w:cs="Calibri" w:ascii="Calibri" w:hAnsi="Calibri"/>
        </w:rPr>
      </w:r>
    </w:p>
    <w:p>
      <w:pPr>
        <w:pStyle w:val="Standard"/>
        <w:spacing w:lineRule="auto" w:line="360"/>
        <w:jc w:val="both"/>
        <w:rPr/>
      </w:pPr>
      <w:r>
        <w:rPr>
          <w:rStyle w:val="Domylnaczcionkaakapitu"/>
          <w:rFonts w:cs="Calibri" w:ascii="Calibri" w:hAnsi="Calibri"/>
          <w:b/>
          <w:bCs/>
        </w:rPr>
        <w:t>3.</w:t>
      </w:r>
      <w:r>
        <w:rPr>
          <w:rStyle w:val="Domylnaczcionkaakapitu"/>
          <w:rFonts w:cs="Calibri" w:ascii="Calibri" w:hAnsi="Calibri"/>
        </w:rPr>
        <w:tab/>
        <w:t>Zwiększenie skuteczności oddziaływań wobec osób stosujących przemoc domową.</w:t>
      </w:r>
    </w:p>
    <w:p>
      <w:pPr>
        <w:pStyle w:val="Standard"/>
        <w:tabs>
          <w:tab w:val="clear" w:pos="709"/>
        </w:tabs>
        <w:spacing w:lineRule="auto" w:line="360"/>
        <w:ind w:start="720"/>
        <w:jc w:val="both"/>
        <w:rPr>
          <w:rFonts w:ascii="Calibri" w:hAnsi="Calibri" w:cs="Calibri"/>
        </w:rPr>
      </w:pPr>
      <w:r>
        <w:rPr>
          <w:rFonts w:cs="Calibri" w:ascii="Calibri" w:hAnsi="Calibri"/>
        </w:rPr>
      </w:r>
    </w:p>
    <w:p>
      <w:pPr>
        <w:pStyle w:val="Standard"/>
        <w:autoSpaceDE w:val="false"/>
        <w:spacing w:lineRule="auto" w:line="360"/>
        <w:jc w:val="both"/>
        <w:rPr/>
      </w:pPr>
      <w:r>
        <w:rPr>
          <w:rStyle w:val="Domylnaczcionkaakapitu"/>
          <w:rFonts w:eastAsia="Times New Roman" w:cs="Calibri" w:ascii="Calibri" w:hAnsi="Calibri"/>
          <w:b/>
          <w:bCs/>
          <w:color w:val="000000"/>
        </w:rPr>
        <w:t>4.</w:t>
      </w:r>
      <w:r>
        <w:rPr>
          <w:rStyle w:val="Domylnaczcionkaakapitu"/>
          <w:rFonts w:eastAsia="Times New Roman" w:cs="Calibri" w:ascii="Calibri" w:hAnsi="Calibri"/>
          <w:color w:val="000000"/>
        </w:rPr>
        <w:tab/>
        <w:t xml:space="preserve">Zintensyfikowanie działań profilaktycznych w zakresie przeciwdziałania przemocy wśród </w:t>
        <w:tab/>
        <w:t>mieszkańców  Tomaszowa Mazowieckiego.</w:t>
      </w:r>
    </w:p>
    <w:p>
      <w:pPr>
        <w:pStyle w:val="Default"/>
        <w:spacing w:lineRule="auto" w:line="360"/>
        <w:jc w:val="both"/>
        <w:rPr>
          <w:rFonts w:ascii="Calibri" w:hAnsi="Calibri" w:cs="Calibri"/>
          <w:b/>
          <w:bCs/>
          <w:lang w:val="pl-PL"/>
        </w:rPr>
      </w:pPr>
      <w:r>
        <w:rPr>
          <w:rFonts w:cs="Calibri" w:ascii="Calibri" w:hAnsi="Calibri"/>
          <w:b/>
          <w:bCs/>
          <w:lang w:val="pl-PL"/>
        </w:rPr>
        <w:tab/>
      </w:r>
    </w:p>
    <w:p>
      <w:pPr>
        <w:pStyle w:val="BodyText"/>
        <w:rPr/>
      </w:pPr>
      <w:r>
        <w:rPr/>
      </w:r>
    </w:p>
    <w:p>
      <w:pPr>
        <w:pStyle w:val="BodyText"/>
        <w:rPr>
          <w:rFonts w:ascii="Cambria" w:hAnsi="Cambria"/>
          <w:b/>
          <w:bCs/>
          <w:i/>
          <w:iCs/>
        </w:rPr>
      </w:pPr>
      <w:r>
        <w:rPr>
          <w:rFonts w:ascii="Cambria" w:hAnsi="Cambria"/>
          <w:b/>
          <w:bCs/>
          <w:i/>
          <w:iCs/>
        </w:rPr>
      </w:r>
    </w:p>
    <w:p>
      <w:pPr>
        <w:pStyle w:val="BodyText"/>
        <w:rPr>
          <w:rFonts w:ascii="Cambria" w:hAnsi="Cambria"/>
          <w:b/>
          <w:bCs/>
          <w:i/>
          <w:iCs/>
        </w:rPr>
      </w:pPr>
      <w:r>
        <w:rPr>
          <w:rFonts w:ascii="Cambria" w:hAnsi="Cambria"/>
          <w:b/>
          <w:bCs/>
          <w:i/>
          <w:iCs/>
        </w:rPr>
      </w:r>
    </w:p>
    <w:p>
      <w:pPr>
        <w:pStyle w:val="BodyText"/>
        <w:rPr>
          <w:rFonts w:ascii="Cambria" w:hAnsi="Cambria"/>
          <w:b/>
          <w:bCs/>
          <w:i/>
          <w:iCs/>
        </w:rPr>
      </w:pPr>
      <w:r>
        <w:rPr>
          <w:rFonts w:ascii="Cambria" w:hAnsi="Cambria"/>
          <w:b/>
          <w:bCs/>
          <w:i/>
          <w:iCs/>
        </w:rPr>
      </w:r>
    </w:p>
    <w:p>
      <w:pPr>
        <w:pStyle w:val="Normal"/>
        <w:rPr/>
      </w:pPr>
      <w:r>
        <w:rPr/>
      </w:r>
    </w:p>
    <w:tbl>
      <w:tblPr>
        <w:tblW w:w="9645" w:type="dxa"/>
        <w:jc w:val="start"/>
        <w:tblInd w:w="-12" w:type="dxa"/>
        <w:tblLayout w:type="fixed"/>
        <w:tblCellMar>
          <w:top w:w="55" w:type="dxa"/>
          <w:start w:w="55" w:type="dxa"/>
          <w:bottom w:w="55" w:type="dxa"/>
          <w:end w:w="55" w:type="dxa"/>
        </w:tblCellMar>
      </w:tblPr>
      <w:tblGrid>
        <w:gridCol w:w="4827"/>
        <w:gridCol w:w="4818"/>
      </w:tblGrid>
      <w:tr>
        <w:trPr/>
        <w:tc>
          <w:tcPr>
            <w:tcW w:w="9645" w:type="dxa"/>
            <w:gridSpan w:val="2"/>
            <w:tcBorders>
              <w:top w:val="single" w:sz="2" w:space="0" w:color="000000"/>
              <w:start w:val="single" w:sz="2" w:space="0" w:color="000000"/>
              <w:bottom w:val="single" w:sz="2" w:space="0" w:color="000000"/>
              <w:end w:val="single" w:sz="2" w:space="0" w:color="000000"/>
            </w:tcBorders>
            <w:shd w:fill="CCCCCC" w:val="clear"/>
          </w:tcPr>
          <w:p>
            <w:pPr>
              <w:pStyle w:val="TableContents"/>
              <w:snapToGrid w:val="false"/>
              <w:jc w:val="both"/>
              <w:rPr>
                <w:rFonts w:ascii="Cambria" w:hAnsi="Cambria"/>
                <w:sz w:val="22"/>
                <w:szCs w:val="22"/>
              </w:rPr>
            </w:pPr>
            <w:r>
              <w:rPr>
                <w:rFonts w:ascii="Cambria" w:hAnsi="Cambria"/>
                <w:sz w:val="22"/>
                <w:szCs w:val="22"/>
              </w:rPr>
            </w:r>
          </w:p>
          <w:p>
            <w:pPr>
              <w:pStyle w:val="TableContents"/>
              <w:jc w:val="center"/>
              <w:rPr>
                <w:rFonts w:ascii="Cambria" w:hAnsi="Cambria"/>
                <w:b/>
                <w:bCs/>
                <w:sz w:val="22"/>
                <w:szCs w:val="22"/>
              </w:rPr>
            </w:pPr>
            <w:r>
              <w:rPr>
                <w:rFonts w:ascii="Cambria" w:hAnsi="Cambria"/>
                <w:b/>
                <w:bCs/>
                <w:sz w:val="22"/>
                <w:szCs w:val="22"/>
              </w:rPr>
              <w:t>CEL STRATEGICZNY</w:t>
            </w:r>
          </w:p>
          <w:p>
            <w:pPr>
              <w:pStyle w:val="TableContents"/>
              <w:jc w:val="center"/>
              <w:rPr>
                <w:rFonts w:ascii="Cambria" w:hAnsi="Cambria"/>
                <w:b/>
                <w:bCs/>
                <w:sz w:val="22"/>
                <w:szCs w:val="22"/>
              </w:rPr>
            </w:pPr>
            <w:r>
              <w:rPr>
                <w:rFonts w:ascii="Cambria" w:hAnsi="Cambria"/>
                <w:b/>
                <w:bCs/>
                <w:sz w:val="22"/>
                <w:szCs w:val="22"/>
              </w:rPr>
              <w:t>Zwiększenie skuteczności działań podmiotów i przedstawicieli służb społecznych w systemie pomocy osobom  i rodzinom zagrożonym przemocą</w:t>
            </w:r>
          </w:p>
          <w:p>
            <w:pPr>
              <w:pStyle w:val="TableContents"/>
              <w:jc w:val="both"/>
              <w:rPr>
                <w:rFonts w:ascii="Cambria" w:hAnsi="Cambria"/>
                <w:sz w:val="22"/>
                <w:szCs w:val="22"/>
              </w:rPr>
            </w:pPr>
            <w:r>
              <w:rPr>
                <w:rFonts w:ascii="Cambria" w:hAnsi="Cambria"/>
                <w:sz w:val="22"/>
                <w:szCs w:val="22"/>
              </w:rPr>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jc w:val="both"/>
              <w:rPr>
                <w:rFonts w:ascii="Cambria" w:hAnsi="Cambria"/>
                <w:sz w:val="22"/>
                <w:szCs w:val="22"/>
              </w:rPr>
            </w:pPr>
            <w:r>
              <w:rPr>
                <w:rFonts w:ascii="Cambria" w:hAnsi="Cambria"/>
                <w:sz w:val="22"/>
                <w:szCs w:val="22"/>
              </w:rPr>
              <w:t>Cel szczegółowy 1:</w:t>
            </w:r>
          </w:p>
          <w:p>
            <w:pPr>
              <w:pStyle w:val="TableContents"/>
              <w:jc w:val="both"/>
              <w:rPr>
                <w:rFonts w:ascii="Cambria" w:hAnsi="Cambria"/>
                <w:sz w:val="22"/>
                <w:szCs w:val="22"/>
              </w:rPr>
            </w:pPr>
            <w:r>
              <w:rPr>
                <w:rFonts w:ascii="Cambria" w:hAnsi="Cambria"/>
                <w:sz w:val="22"/>
                <w:szCs w:val="22"/>
              </w:rPr>
              <w:t xml:space="preserve">Zwiększenie poziomu kompetencji przedstawicieli instytucji i podmiotów realizujących zadania </w:t>
              <w:br/>
              <w:t>z zakresu przeciwdziałania przemocy domowej, w celu podniesienia jakości i dostępności świadczonych usług i zmniejszenie skali zjawiska na terenie miasta</w:t>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jc w:val="both"/>
              <w:rPr>
                <w:rFonts w:ascii="Cambria" w:hAnsi="Cambria"/>
                <w:sz w:val="22"/>
                <w:szCs w:val="22"/>
              </w:rPr>
            </w:pPr>
            <w:r>
              <w:rPr>
                <w:rFonts w:ascii="Cambria" w:hAnsi="Cambria"/>
                <w:sz w:val="22"/>
                <w:szCs w:val="22"/>
              </w:rPr>
              <w:t>Działania:</w:t>
            </w:r>
          </w:p>
          <w:p>
            <w:pPr>
              <w:pStyle w:val="TableContents"/>
              <w:jc w:val="both"/>
              <w:rPr>
                <w:rFonts w:ascii="Cambria" w:hAnsi="Cambria"/>
                <w:sz w:val="22"/>
                <w:szCs w:val="22"/>
              </w:rPr>
            </w:pPr>
            <w:r>
              <w:rPr>
                <w:rFonts w:ascii="Cambria" w:hAnsi="Cambria"/>
                <w:sz w:val="22"/>
                <w:szCs w:val="22"/>
              </w:rPr>
              <w:t>1. Analiza potrzeb szkoleniowych pracowników instytucji działających na rzecz przeciwdziałania przemocy domowej.</w:t>
            </w:r>
          </w:p>
          <w:p>
            <w:pPr>
              <w:pStyle w:val="TableContents"/>
              <w:jc w:val="both"/>
              <w:rPr>
                <w:rFonts w:ascii="Cambria" w:hAnsi="Cambria"/>
                <w:sz w:val="22"/>
                <w:szCs w:val="22"/>
              </w:rPr>
            </w:pPr>
            <w:r>
              <w:rPr>
                <w:rFonts w:ascii="Cambria" w:hAnsi="Cambria"/>
                <w:sz w:val="22"/>
                <w:szCs w:val="22"/>
              </w:rPr>
              <w:t>2. Udział w konferencjach tematycznych i spotkaniach mających na celu wymianę informacji przedstawicieli różnych instytucji.</w:t>
            </w:r>
          </w:p>
          <w:p>
            <w:pPr>
              <w:pStyle w:val="TableContents"/>
              <w:jc w:val="both"/>
              <w:rPr>
                <w:rFonts w:ascii="Cambria" w:hAnsi="Cambria"/>
                <w:sz w:val="22"/>
                <w:szCs w:val="22"/>
              </w:rPr>
            </w:pPr>
            <w:r>
              <w:rPr>
                <w:rFonts w:ascii="Cambria" w:hAnsi="Cambria"/>
                <w:sz w:val="22"/>
                <w:szCs w:val="22"/>
              </w:rPr>
              <w:t xml:space="preserve">3. Organizowanie szkoleń dla członków zespołu interdyscyplinarnego, grup diagnostyczno - pomocowych i pracowników pracujących z dziećmi i młodzieżą, osobami z niepełnosprawnościami </w:t>
              <w:br/>
              <w:t>i starszymi.</w:t>
            </w:r>
          </w:p>
          <w:p>
            <w:pPr>
              <w:pStyle w:val="TableContents"/>
              <w:jc w:val="both"/>
              <w:rPr>
                <w:rFonts w:ascii="Cambria" w:hAnsi="Cambria"/>
                <w:sz w:val="22"/>
                <w:szCs w:val="22"/>
              </w:rPr>
            </w:pPr>
            <w:r>
              <w:rPr>
                <w:rFonts w:ascii="Cambria" w:hAnsi="Cambria"/>
                <w:sz w:val="22"/>
                <w:szCs w:val="22"/>
              </w:rPr>
              <w:t xml:space="preserve">4. Współpraca i wymiana informacji pomiędzy służbami, instytucjami i organizacjami działającymi </w:t>
              <w:br/>
              <w:t>w obszarze przeciwdziałania przemocy.</w:t>
            </w:r>
          </w:p>
          <w:p>
            <w:pPr>
              <w:pStyle w:val="TableContents"/>
              <w:jc w:val="both"/>
              <w:rPr>
                <w:rFonts w:ascii="Cambria" w:hAnsi="Cambria"/>
                <w:sz w:val="22"/>
                <w:szCs w:val="22"/>
              </w:rPr>
            </w:pPr>
            <w:r>
              <w:rPr>
                <w:rFonts w:ascii="Cambria" w:hAnsi="Cambria"/>
                <w:sz w:val="22"/>
                <w:szCs w:val="22"/>
              </w:rPr>
              <w:t>5. Organizowanie działań mających na celu przeciwdziałanie wypaleniu zawodowemu tj. warsztaty, superwizje, coaching.</w:t>
            </w:r>
          </w:p>
          <w:p>
            <w:pPr>
              <w:pStyle w:val="TableContents"/>
              <w:jc w:val="both"/>
              <w:rPr>
                <w:rFonts w:ascii="Cambria" w:hAnsi="Cambria"/>
                <w:sz w:val="22"/>
                <w:szCs w:val="22"/>
              </w:rPr>
            </w:pPr>
            <w:r>
              <w:rPr>
                <w:rFonts w:ascii="Cambria" w:hAnsi="Cambria"/>
                <w:sz w:val="22"/>
                <w:szCs w:val="22"/>
              </w:rPr>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rPr>
                <w:rFonts w:ascii="Cambria" w:hAnsi="Cambria"/>
                <w:sz w:val="22"/>
                <w:szCs w:val="22"/>
              </w:rPr>
            </w:pPr>
            <w:r>
              <w:rPr>
                <w:rFonts w:ascii="Cambria" w:hAnsi="Cambria"/>
                <w:sz w:val="22"/>
                <w:szCs w:val="22"/>
              </w:rPr>
            </w:r>
          </w:p>
          <w:p>
            <w:pPr>
              <w:pStyle w:val="TableContents"/>
              <w:jc w:val="center"/>
              <w:rPr>
                <w:rFonts w:ascii="Cambria" w:hAnsi="Cambria"/>
                <w:b/>
                <w:bCs/>
                <w:sz w:val="28"/>
                <w:szCs w:val="28"/>
              </w:rPr>
            </w:pPr>
            <w:r>
              <w:rPr>
                <w:rFonts w:ascii="Cambria" w:hAnsi="Cambria"/>
                <w:b/>
                <w:bCs/>
                <w:sz w:val="28"/>
                <w:szCs w:val="28"/>
              </w:rPr>
              <w:t>Wskaźniki</w:t>
            </w:r>
          </w:p>
          <w:p>
            <w:pPr>
              <w:pStyle w:val="TableContents"/>
              <w:rPr>
                <w:rFonts w:ascii="Cambria" w:hAnsi="Cambria"/>
                <w:sz w:val="22"/>
                <w:szCs w:val="22"/>
              </w:rPr>
            </w:pPr>
            <w:r>
              <w:rPr>
                <w:rFonts w:ascii="Cambria" w:hAnsi="Cambria"/>
                <w:sz w:val="22"/>
                <w:szCs w:val="22"/>
              </w:rPr>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szkoleń</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28</w:t>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osób przeszkolonych w zakresie przeciwdziałania przemocy</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381</w:t>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posiedzeń zespołów interdyscyplinarnych</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 xml:space="preserve">  </w:t>
            </w:r>
            <w:r>
              <w:rPr>
                <w:rStyle w:val="Domylnaczcionkaakapitu"/>
                <w:rFonts w:ascii="Cambria" w:hAnsi="Cambria"/>
                <w:b/>
                <w:bCs/>
                <w:sz w:val="22"/>
                <w:szCs w:val="22"/>
              </w:rPr>
              <w:t>6</w:t>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posiedzeń grup diagnostyczno-pomocowych</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 xml:space="preserve"> </w:t>
            </w:r>
            <w:r>
              <w:rPr>
                <w:rStyle w:val="Domylnaczcionkaakapitu"/>
                <w:rFonts w:ascii="Cambria" w:hAnsi="Cambria"/>
                <w:b/>
                <w:bCs/>
                <w:sz w:val="22"/>
                <w:szCs w:val="22"/>
              </w:rPr>
              <w:t>807</w:t>
            </w:r>
          </w:p>
        </w:tc>
      </w:tr>
      <w:tr>
        <w:trPr>
          <w:trHeight w:val="597" w:hRule="atLeast"/>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zorganizowanych warsztatów, superwizji, coachingów</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 xml:space="preserve">    </w:t>
            </w:r>
            <w:r>
              <w:rPr>
                <w:rStyle w:val="Domylnaczcionkaakapitu"/>
                <w:rFonts w:ascii="Cambria" w:hAnsi="Cambria"/>
                <w:b/>
                <w:bCs/>
                <w:sz w:val="22"/>
                <w:szCs w:val="22"/>
              </w:rPr>
              <w:t>30</w:t>
            </w:r>
          </w:p>
        </w:tc>
      </w:tr>
      <w:tr>
        <w:trPr>
          <w:trHeight w:val="3718" w:hRule="atLeast"/>
        </w:trPr>
        <w:tc>
          <w:tcPr>
            <w:tcW w:w="9645" w:type="dxa"/>
            <w:gridSpan w:val="2"/>
            <w:tcBorders>
              <w:start w:val="single" w:sz="2" w:space="0" w:color="000000"/>
              <w:bottom w:val="single" w:sz="2" w:space="0" w:color="000000"/>
              <w:end w:val="single" w:sz="2" w:space="0" w:color="000000"/>
            </w:tcBorders>
            <w:shd w:fill="FFFFFF" w:val="clear"/>
          </w:tcPr>
          <w:p>
            <w:pPr>
              <w:pStyle w:val="TableContents"/>
              <w:rPr>
                <w:rFonts w:ascii="Cambria" w:hAnsi="Cambria"/>
                <w:sz w:val="22"/>
                <w:szCs w:val="22"/>
              </w:rPr>
            </w:pPr>
            <w:r>
              <w:rPr>
                <w:rFonts w:ascii="Cambria" w:hAnsi="Cambria"/>
                <w:sz w:val="22"/>
                <w:szCs w:val="22"/>
              </w:rPr>
            </w:r>
          </w:p>
          <w:p>
            <w:pPr>
              <w:pStyle w:val="TableContents"/>
              <w:rPr>
                <w:rFonts w:ascii="Cambria" w:hAnsi="Cambria"/>
                <w:b/>
                <w:bCs/>
                <w:sz w:val="22"/>
                <w:szCs w:val="22"/>
              </w:rPr>
            </w:pPr>
            <w:r>
              <w:rPr>
                <w:rFonts w:ascii="Cambria" w:hAnsi="Cambria"/>
                <w:b/>
                <w:bCs/>
                <w:sz w:val="22"/>
                <w:szCs w:val="22"/>
              </w:rPr>
              <w:t>Podmiot odpowiedzialny za realizację zadania:</w:t>
            </w:r>
          </w:p>
          <w:p>
            <w:pPr>
              <w:pStyle w:val="TableContents"/>
              <w:rPr>
                <w:rFonts w:ascii="Cambria" w:hAnsi="Cambria"/>
                <w:sz w:val="22"/>
                <w:szCs w:val="22"/>
                <w:u w:val="single"/>
              </w:rPr>
            </w:pPr>
            <w:r>
              <w:rPr>
                <w:rFonts w:ascii="Cambria" w:hAnsi="Cambria"/>
                <w:sz w:val="22"/>
                <w:szCs w:val="22"/>
                <w:u w:val="single"/>
              </w:rPr>
            </w:r>
          </w:p>
          <w:p>
            <w:pPr>
              <w:pStyle w:val="TableContents"/>
              <w:rPr>
                <w:rFonts w:ascii="Cambria" w:hAnsi="Cambria"/>
                <w:sz w:val="22"/>
                <w:szCs w:val="22"/>
              </w:rPr>
            </w:pPr>
            <w:r>
              <w:rPr>
                <w:rFonts w:ascii="Cambria" w:hAnsi="Cambria"/>
                <w:sz w:val="22"/>
                <w:szCs w:val="22"/>
              </w:rPr>
              <w:t>- Miejski Ośrodek Pomocy Społecznej;</w:t>
            </w:r>
          </w:p>
          <w:p>
            <w:pPr>
              <w:pStyle w:val="TableContents"/>
              <w:rPr>
                <w:rFonts w:ascii="Cambria" w:hAnsi="Cambria"/>
                <w:sz w:val="22"/>
                <w:szCs w:val="22"/>
              </w:rPr>
            </w:pPr>
            <w:r>
              <w:rPr>
                <w:rFonts w:ascii="Cambria" w:hAnsi="Cambria"/>
                <w:sz w:val="22"/>
                <w:szCs w:val="22"/>
              </w:rPr>
              <w:t>- Komenda Powiatowa Policji;</w:t>
            </w:r>
          </w:p>
          <w:p>
            <w:pPr>
              <w:pStyle w:val="TableContents"/>
              <w:rPr>
                <w:rFonts w:ascii="Cambria" w:hAnsi="Cambria"/>
                <w:sz w:val="22"/>
                <w:szCs w:val="22"/>
              </w:rPr>
            </w:pPr>
            <w:r>
              <w:rPr>
                <w:rFonts w:ascii="Cambria" w:hAnsi="Cambria"/>
                <w:sz w:val="22"/>
                <w:szCs w:val="22"/>
              </w:rPr>
              <w:t>- Sąd Rejonowy;</w:t>
            </w:r>
          </w:p>
          <w:p>
            <w:pPr>
              <w:pStyle w:val="TableContents"/>
              <w:rPr>
                <w:rFonts w:ascii="Cambria" w:hAnsi="Cambria"/>
                <w:sz w:val="22"/>
                <w:szCs w:val="22"/>
              </w:rPr>
            </w:pPr>
            <w:r>
              <w:rPr>
                <w:rFonts w:ascii="Cambria" w:hAnsi="Cambria"/>
                <w:sz w:val="22"/>
                <w:szCs w:val="22"/>
              </w:rPr>
              <w:t>- Powiatowe Centrum Pomocy Rodzinie;</w:t>
            </w:r>
          </w:p>
          <w:p>
            <w:pPr>
              <w:pStyle w:val="TableContents"/>
              <w:rPr>
                <w:rFonts w:ascii="Cambria" w:hAnsi="Cambria"/>
                <w:sz w:val="22"/>
                <w:szCs w:val="22"/>
              </w:rPr>
            </w:pPr>
            <w:r>
              <w:rPr>
                <w:rFonts w:ascii="Cambria" w:hAnsi="Cambria"/>
                <w:sz w:val="22"/>
                <w:szCs w:val="22"/>
              </w:rPr>
              <w:t>- Miejska Komisja Rozwiązywania Problemów Alkoholowych;</w:t>
            </w:r>
          </w:p>
          <w:p>
            <w:pPr>
              <w:pStyle w:val="TableContents"/>
              <w:rPr>
                <w:rFonts w:ascii="Cambria" w:hAnsi="Cambria"/>
                <w:sz w:val="22"/>
                <w:szCs w:val="22"/>
              </w:rPr>
            </w:pPr>
            <w:r>
              <w:rPr>
                <w:rFonts w:ascii="Cambria" w:hAnsi="Cambria"/>
                <w:sz w:val="22"/>
                <w:szCs w:val="22"/>
              </w:rPr>
              <w:t>- Służba Zdrowia;</w:t>
            </w:r>
          </w:p>
          <w:p>
            <w:pPr>
              <w:pStyle w:val="TableContents"/>
              <w:rPr>
                <w:rFonts w:ascii="Cambria" w:hAnsi="Cambria"/>
                <w:sz w:val="22"/>
                <w:szCs w:val="22"/>
              </w:rPr>
            </w:pPr>
            <w:r>
              <w:rPr>
                <w:rFonts w:ascii="Cambria" w:hAnsi="Cambria"/>
                <w:sz w:val="22"/>
                <w:szCs w:val="22"/>
              </w:rPr>
              <w:t>- Urząd Miasta Wydział Spraw Społecznych i Rodziny/ Wydział Edukacji;</w:t>
            </w:r>
          </w:p>
          <w:p>
            <w:pPr>
              <w:pStyle w:val="TableContents"/>
              <w:rPr>
                <w:rFonts w:ascii="Cambria" w:hAnsi="Cambria"/>
                <w:sz w:val="22"/>
                <w:szCs w:val="22"/>
              </w:rPr>
            </w:pPr>
            <w:r>
              <w:rPr>
                <w:rFonts w:ascii="Cambria" w:hAnsi="Cambria"/>
                <w:sz w:val="22"/>
                <w:szCs w:val="22"/>
              </w:rPr>
              <w:t>-Wydział Oświaty i Sportu Starostwa Powiatowego w Tomaszowie Maz.;</w:t>
            </w:r>
          </w:p>
          <w:p>
            <w:pPr>
              <w:pStyle w:val="TableContents"/>
              <w:rPr>
                <w:rFonts w:ascii="Cambria" w:hAnsi="Cambria"/>
                <w:sz w:val="22"/>
                <w:szCs w:val="22"/>
              </w:rPr>
            </w:pPr>
            <w:r>
              <w:rPr>
                <w:rFonts w:ascii="Cambria" w:hAnsi="Cambria"/>
                <w:sz w:val="22"/>
                <w:szCs w:val="22"/>
              </w:rPr>
              <w:t>- Ośrodek Interwencji Kryzysowej;</w:t>
            </w:r>
          </w:p>
          <w:p>
            <w:pPr>
              <w:pStyle w:val="TableContents"/>
              <w:rPr>
                <w:rFonts w:ascii="Cambria" w:hAnsi="Cambria"/>
                <w:sz w:val="22"/>
                <w:szCs w:val="22"/>
              </w:rPr>
            </w:pPr>
            <w:r>
              <w:rPr>
                <w:rFonts w:ascii="Cambria" w:hAnsi="Cambria"/>
                <w:sz w:val="22"/>
                <w:szCs w:val="22"/>
              </w:rPr>
              <w:t>- Organizacje Pozarządowe / Stowarzyszenia/Fundacje.</w:t>
            </w:r>
          </w:p>
          <w:p>
            <w:pPr>
              <w:pStyle w:val="TableContents"/>
              <w:rPr>
                <w:rFonts w:ascii="Cambria" w:hAnsi="Cambria"/>
                <w:sz w:val="22"/>
                <w:szCs w:val="22"/>
              </w:rPr>
            </w:pPr>
            <w:r>
              <w:rPr>
                <w:rFonts w:ascii="Cambria" w:hAnsi="Cambria"/>
                <w:sz w:val="22"/>
                <w:szCs w:val="22"/>
              </w:rPr>
            </w:r>
          </w:p>
          <w:p>
            <w:pPr>
              <w:pStyle w:val="TableContents"/>
              <w:rPr>
                <w:rFonts w:ascii="Cambria" w:hAnsi="Cambria"/>
                <w:sz w:val="22"/>
                <w:szCs w:val="22"/>
              </w:rPr>
            </w:pPr>
            <w:r>
              <w:rPr>
                <w:rFonts w:ascii="Cambria" w:hAnsi="Cambria"/>
                <w:sz w:val="22"/>
                <w:szCs w:val="22"/>
              </w:rPr>
            </w:r>
          </w:p>
          <w:p>
            <w:pPr>
              <w:pStyle w:val="TableContents"/>
              <w:rPr>
                <w:rFonts w:ascii="Cambria" w:hAnsi="Cambria"/>
                <w:sz w:val="22"/>
                <w:szCs w:val="22"/>
              </w:rPr>
            </w:pPr>
            <w:r>
              <w:rPr>
                <w:rFonts w:ascii="Cambria" w:hAnsi="Cambria"/>
                <w:sz w:val="22"/>
                <w:szCs w:val="22"/>
              </w:rPr>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jc w:val="both"/>
              <w:rPr>
                <w:rFonts w:ascii="Cambria" w:hAnsi="Cambria"/>
                <w:sz w:val="22"/>
                <w:szCs w:val="22"/>
              </w:rPr>
            </w:pPr>
            <w:r>
              <w:rPr>
                <w:rFonts w:ascii="Cambria" w:hAnsi="Cambria"/>
                <w:sz w:val="22"/>
                <w:szCs w:val="22"/>
              </w:rPr>
              <w:t>Cel szczegółowy 2:</w:t>
            </w:r>
          </w:p>
          <w:p>
            <w:pPr>
              <w:pStyle w:val="TableContents"/>
              <w:jc w:val="both"/>
              <w:rPr>
                <w:rFonts w:ascii="Cambria" w:hAnsi="Cambria"/>
                <w:sz w:val="22"/>
                <w:szCs w:val="22"/>
              </w:rPr>
            </w:pPr>
            <w:r>
              <w:rPr>
                <w:rFonts w:ascii="Cambria" w:hAnsi="Cambria"/>
                <w:sz w:val="22"/>
                <w:szCs w:val="22"/>
              </w:rPr>
              <w:t>Wzmocnienie skuteczności ochrony, pomocy oraz wsparcia dla osób doznających przemocy domowej</w:t>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jc w:val="both"/>
              <w:rPr>
                <w:rFonts w:ascii="Cambria" w:hAnsi="Cambria"/>
                <w:sz w:val="22"/>
                <w:szCs w:val="22"/>
              </w:rPr>
            </w:pPr>
            <w:r>
              <w:rPr>
                <w:rFonts w:ascii="Cambria" w:hAnsi="Cambria"/>
                <w:sz w:val="22"/>
                <w:szCs w:val="22"/>
              </w:rPr>
              <w:t>Działania:</w:t>
            </w:r>
          </w:p>
          <w:p>
            <w:pPr>
              <w:pStyle w:val="TableContents"/>
              <w:jc w:val="both"/>
              <w:rPr>
                <w:rFonts w:ascii="Cambria" w:hAnsi="Cambria"/>
                <w:sz w:val="22"/>
                <w:szCs w:val="22"/>
              </w:rPr>
            </w:pPr>
            <w:r>
              <w:rPr>
                <w:rFonts w:ascii="Cambria" w:hAnsi="Cambria"/>
                <w:sz w:val="22"/>
                <w:szCs w:val="22"/>
              </w:rPr>
              <w:t>1. Wspieranie, propagowanie działań skierowanych do osób doznających przemocy domowej, w tym osób szczególnego ryzyka : dzieci , osób z niepełnosprawnościami, osób starszych.</w:t>
            </w:r>
          </w:p>
          <w:p>
            <w:pPr>
              <w:pStyle w:val="TableContents"/>
              <w:jc w:val="both"/>
              <w:rPr>
                <w:rFonts w:ascii="Cambria" w:hAnsi="Cambria"/>
                <w:sz w:val="22"/>
                <w:szCs w:val="22"/>
              </w:rPr>
            </w:pPr>
            <w:r>
              <w:rPr>
                <w:rFonts w:ascii="Cambria" w:hAnsi="Cambria"/>
                <w:sz w:val="22"/>
                <w:szCs w:val="22"/>
              </w:rPr>
              <w:t>2. Propagowanie działań mających na celu tworzenie i zwiększanie dostępności do lokalnych telefonów interwencyjnych lub informacyjnych dla osób doznających przemocy.</w:t>
            </w:r>
          </w:p>
          <w:p>
            <w:pPr>
              <w:pStyle w:val="TableContents"/>
              <w:jc w:val="both"/>
              <w:rPr>
                <w:rFonts w:ascii="Cambria" w:hAnsi="Cambria"/>
                <w:sz w:val="22"/>
                <w:szCs w:val="22"/>
              </w:rPr>
            </w:pPr>
            <w:r>
              <w:rPr>
                <w:rFonts w:ascii="Cambria" w:hAnsi="Cambria"/>
                <w:sz w:val="22"/>
                <w:szCs w:val="22"/>
              </w:rPr>
              <w:t>3. Analiza i uaktualnianie bazy instytucji i form udzielanego wsparcia osobom doznającym przemocy domowej.</w:t>
            </w:r>
          </w:p>
          <w:p>
            <w:pPr>
              <w:pStyle w:val="TableContents"/>
              <w:jc w:val="both"/>
              <w:rPr>
                <w:rFonts w:ascii="Cambria" w:hAnsi="Cambria"/>
                <w:sz w:val="22"/>
                <w:szCs w:val="22"/>
              </w:rPr>
            </w:pPr>
            <w:r>
              <w:rPr>
                <w:rFonts w:ascii="Cambria" w:hAnsi="Cambria"/>
                <w:sz w:val="22"/>
                <w:szCs w:val="22"/>
              </w:rPr>
              <w:t>4. Edukacja szkolna  dzieci i młodzieży dotycząca zjawiska przemocy.</w:t>
            </w:r>
          </w:p>
          <w:p>
            <w:pPr>
              <w:pStyle w:val="TableContents"/>
              <w:jc w:val="both"/>
              <w:rPr>
                <w:rFonts w:ascii="Cambria" w:hAnsi="Cambria"/>
                <w:sz w:val="22"/>
                <w:szCs w:val="22"/>
              </w:rPr>
            </w:pPr>
            <w:r>
              <w:rPr>
                <w:rFonts w:ascii="Cambria" w:hAnsi="Cambria"/>
                <w:sz w:val="22"/>
                <w:szCs w:val="22"/>
              </w:rPr>
              <w:t>5. Zamieszczanie informacji dotyczących przemocy na stronach internetowych.</w:t>
            </w:r>
          </w:p>
          <w:p>
            <w:pPr>
              <w:pStyle w:val="TableContents"/>
              <w:jc w:val="both"/>
              <w:rPr>
                <w:rFonts w:ascii="Cambria" w:hAnsi="Cambria"/>
                <w:sz w:val="22"/>
                <w:szCs w:val="22"/>
              </w:rPr>
            </w:pPr>
            <w:r>
              <w:rPr>
                <w:rFonts w:ascii="Cambria" w:hAnsi="Cambria"/>
                <w:sz w:val="22"/>
                <w:szCs w:val="22"/>
              </w:rPr>
              <w:t>6. Wspólne wizyty przedstawicieli różnych służb w środowiskach zagrożonych przemocą domową.</w:t>
            </w:r>
          </w:p>
          <w:p>
            <w:pPr>
              <w:pStyle w:val="TableContents"/>
              <w:jc w:val="both"/>
              <w:rPr>
                <w:rFonts w:ascii="Cambria" w:hAnsi="Cambria"/>
                <w:sz w:val="22"/>
                <w:szCs w:val="22"/>
              </w:rPr>
            </w:pPr>
            <w:r>
              <w:rPr>
                <w:rFonts w:ascii="Cambria" w:hAnsi="Cambria"/>
                <w:sz w:val="22"/>
                <w:szCs w:val="22"/>
              </w:rPr>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jc w:val="center"/>
              <w:rPr>
                <w:rFonts w:ascii="Cambria" w:hAnsi="Cambria"/>
                <w:b/>
                <w:bCs/>
                <w:sz w:val="28"/>
                <w:szCs w:val="28"/>
              </w:rPr>
            </w:pPr>
            <w:r>
              <w:rPr>
                <w:rFonts w:ascii="Cambria" w:hAnsi="Cambria"/>
                <w:b/>
                <w:bCs/>
                <w:sz w:val="28"/>
                <w:szCs w:val="28"/>
              </w:rPr>
            </w:r>
          </w:p>
          <w:p>
            <w:pPr>
              <w:pStyle w:val="TableContents"/>
              <w:jc w:val="center"/>
              <w:rPr>
                <w:rFonts w:ascii="Cambria" w:hAnsi="Cambria"/>
                <w:b/>
                <w:bCs/>
                <w:sz w:val="28"/>
                <w:szCs w:val="28"/>
              </w:rPr>
            </w:pPr>
            <w:r>
              <w:rPr>
                <w:rFonts w:ascii="Cambria" w:hAnsi="Cambria"/>
                <w:b/>
                <w:bCs/>
                <w:sz w:val="28"/>
                <w:szCs w:val="28"/>
              </w:rPr>
              <w:t>Wskaźniki</w:t>
            </w:r>
          </w:p>
          <w:p>
            <w:pPr>
              <w:pStyle w:val="TableContents"/>
              <w:rPr>
                <w:rFonts w:ascii="Cambria" w:hAnsi="Cambria"/>
                <w:sz w:val="22"/>
                <w:szCs w:val="22"/>
              </w:rPr>
            </w:pPr>
            <w:r>
              <w:rPr>
                <w:rFonts w:ascii="Cambria" w:hAnsi="Cambria"/>
                <w:sz w:val="22"/>
                <w:szCs w:val="22"/>
              </w:rPr>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osób korzystających ze wsparcia instytucji</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 xml:space="preserve"> </w:t>
            </w:r>
            <w:r>
              <w:rPr>
                <w:rStyle w:val="Domylnaczcionkaakapitu"/>
                <w:rFonts w:ascii="Cambria" w:hAnsi="Cambria"/>
                <w:b/>
                <w:bCs/>
                <w:sz w:val="22"/>
                <w:szCs w:val="22"/>
              </w:rPr>
              <w:t>1602</w:t>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rozdysponowanych materiałów informacyjno-edukacyjnych oraz wpisów na stronach internetowych poszczególnych instytucji</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1553</w:t>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 xml:space="preserve">Liczba przeprowadzonych warsztatów </w:t>
              <w:br/>
              <w:t>i pogadanek z dziećmi i młodzieżą.</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 xml:space="preserve">  </w:t>
            </w:r>
            <w:r>
              <w:rPr>
                <w:rStyle w:val="Domylnaczcionkaakapitu"/>
                <w:rFonts w:ascii="Cambria" w:hAnsi="Cambria"/>
                <w:b/>
                <w:bCs/>
                <w:sz w:val="22"/>
                <w:szCs w:val="22"/>
              </w:rPr>
              <w:t>126</w:t>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osób objętych pomocą zespołów interdyscyplinarnych</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1371</w:t>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aktywnie prowadzonych stron internetowych</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 xml:space="preserve">  </w:t>
            </w:r>
            <w:r>
              <w:rPr>
                <w:rStyle w:val="Domylnaczcionkaakapitu"/>
                <w:rFonts w:ascii="Cambria" w:hAnsi="Cambria"/>
                <w:b/>
                <w:bCs/>
                <w:sz w:val="22"/>
                <w:szCs w:val="22"/>
              </w:rPr>
              <w:t>11</w:t>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 xml:space="preserve">Liczba lokalnych telefonów  informacyjnych </w:t>
              <w:br/>
              <w:t>i interwencyjnych</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 xml:space="preserve"> </w:t>
            </w:r>
            <w:r>
              <w:rPr>
                <w:rStyle w:val="Domylnaczcionkaakapitu"/>
                <w:rFonts w:ascii="Cambria" w:hAnsi="Cambria"/>
                <w:b/>
                <w:bCs/>
                <w:sz w:val="22"/>
                <w:szCs w:val="22"/>
              </w:rPr>
              <w:t>15</w:t>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interwencji w środowiskach</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 xml:space="preserve">  </w:t>
            </w:r>
            <w:r>
              <w:rPr>
                <w:rStyle w:val="Domylnaczcionkaakapitu"/>
                <w:rFonts w:ascii="Cambria" w:hAnsi="Cambria"/>
                <w:b/>
                <w:bCs/>
                <w:sz w:val="22"/>
                <w:szCs w:val="22"/>
              </w:rPr>
              <w:t>631</w:t>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rPr>
                <w:rFonts w:ascii="Cambria" w:hAnsi="Cambria"/>
                <w:b/>
                <w:bCs/>
                <w:sz w:val="22"/>
                <w:szCs w:val="22"/>
                <w:u w:val="single"/>
              </w:rPr>
            </w:pPr>
            <w:r>
              <w:rPr>
                <w:rFonts w:ascii="Cambria" w:hAnsi="Cambria"/>
                <w:b/>
                <w:bCs/>
                <w:sz w:val="22"/>
                <w:szCs w:val="22"/>
                <w:u w:val="single"/>
              </w:rPr>
            </w:r>
          </w:p>
          <w:p>
            <w:pPr>
              <w:pStyle w:val="TableContents"/>
              <w:rPr>
                <w:rFonts w:ascii="Cambria" w:hAnsi="Cambria"/>
                <w:b/>
                <w:bCs/>
                <w:sz w:val="22"/>
                <w:szCs w:val="22"/>
              </w:rPr>
            </w:pPr>
            <w:r>
              <w:rPr>
                <w:rFonts w:ascii="Cambria" w:hAnsi="Cambria"/>
                <w:b/>
                <w:bCs/>
                <w:sz w:val="22"/>
                <w:szCs w:val="22"/>
              </w:rPr>
              <w:t>Podmiot odpowiedzialny za realizację zadania:</w:t>
            </w:r>
          </w:p>
          <w:p>
            <w:pPr>
              <w:pStyle w:val="TableContents"/>
              <w:rPr>
                <w:rFonts w:ascii="Cambria" w:hAnsi="Cambria" w:eastAsia="Liberation Serif" w:cs="Liberation Serif"/>
                <w:sz w:val="22"/>
                <w:szCs w:val="22"/>
              </w:rPr>
            </w:pPr>
            <w:r>
              <w:rPr>
                <w:rFonts w:eastAsia="Liberation Serif" w:cs="Liberation Serif" w:ascii="Cambria" w:hAnsi="Cambria"/>
                <w:sz w:val="22"/>
                <w:szCs w:val="22"/>
              </w:rPr>
              <w:t xml:space="preserve"> </w:t>
            </w:r>
          </w:p>
          <w:p>
            <w:pPr>
              <w:pStyle w:val="TableContents"/>
              <w:rPr>
                <w:rFonts w:ascii="Cambria" w:hAnsi="Cambria"/>
                <w:sz w:val="22"/>
                <w:szCs w:val="22"/>
              </w:rPr>
            </w:pPr>
            <w:r>
              <w:rPr>
                <w:rFonts w:ascii="Cambria" w:hAnsi="Cambria"/>
                <w:sz w:val="22"/>
                <w:szCs w:val="22"/>
              </w:rPr>
              <w:t>- Miejski Ośrodek pomocy Społecznej / Zespół Interdyscyplinarny;</w:t>
            </w:r>
          </w:p>
          <w:p>
            <w:pPr>
              <w:pStyle w:val="TableContents"/>
              <w:rPr>
                <w:rFonts w:ascii="Cambria" w:hAnsi="Cambria"/>
                <w:sz w:val="22"/>
                <w:szCs w:val="22"/>
              </w:rPr>
            </w:pPr>
            <w:r>
              <w:rPr>
                <w:rFonts w:ascii="Cambria" w:hAnsi="Cambria"/>
                <w:sz w:val="22"/>
                <w:szCs w:val="22"/>
              </w:rPr>
              <w:t>- Komenda Powiatowa Policji;</w:t>
            </w:r>
          </w:p>
          <w:p>
            <w:pPr>
              <w:pStyle w:val="TableContents"/>
              <w:rPr>
                <w:rFonts w:ascii="Cambria" w:hAnsi="Cambria"/>
                <w:sz w:val="22"/>
                <w:szCs w:val="22"/>
              </w:rPr>
            </w:pPr>
            <w:r>
              <w:rPr>
                <w:rFonts w:ascii="Cambria" w:hAnsi="Cambria"/>
                <w:sz w:val="22"/>
                <w:szCs w:val="22"/>
              </w:rPr>
              <w:t>- Ośrodek Interwencji Kryzysowej;</w:t>
            </w:r>
          </w:p>
          <w:p>
            <w:pPr>
              <w:pStyle w:val="TableContents"/>
              <w:rPr>
                <w:rFonts w:ascii="Cambria" w:hAnsi="Cambria"/>
                <w:sz w:val="22"/>
                <w:szCs w:val="22"/>
              </w:rPr>
            </w:pPr>
            <w:r>
              <w:rPr>
                <w:rFonts w:ascii="Cambria" w:hAnsi="Cambria"/>
                <w:sz w:val="22"/>
                <w:szCs w:val="22"/>
              </w:rPr>
              <w:t>- Prokuratura Rejonowa;</w:t>
            </w:r>
          </w:p>
          <w:p>
            <w:pPr>
              <w:pStyle w:val="TableContents"/>
              <w:rPr>
                <w:rFonts w:ascii="Cambria" w:hAnsi="Cambria"/>
                <w:sz w:val="22"/>
                <w:szCs w:val="22"/>
              </w:rPr>
            </w:pPr>
            <w:r>
              <w:rPr>
                <w:rFonts w:ascii="Cambria" w:hAnsi="Cambria"/>
                <w:sz w:val="22"/>
                <w:szCs w:val="22"/>
              </w:rPr>
              <w:t>- Miejska Komisja Rozwiązywania Problemów Alkoholowych</w:t>
            </w:r>
          </w:p>
          <w:p>
            <w:pPr>
              <w:pStyle w:val="TableContents"/>
              <w:rPr>
                <w:rFonts w:ascii="Cambria" w:hAnsi="Cambria"/>
                <w:sz w:val="22"/>
                <w:szCs w:val="22"/>
              </w:rPr>
            </w:pPr>
            <w:r>
              <w:rPr>
                <w:rFonts w:ascii="Cambria" w:hAnsi="Cambria"/>
                <w:sz w:val="22"/>
                <w:szCs w:val="22"/>
              </w:rPr>
              <w:t>- Urząd Miasta Wydział Spraw Społecznych i Rodziny oraz Wydział Edukacji;</w:t>
            </w:r>
          </w:p>
          <w:p>
            <w:pPr>
              <w:pStyle w:val="TableContents"/>
              <w:rPr>
                <w:rFonts w:ascii="Cambria" w:hAnsi="Cambria"/>
                <w:sz w:val="22"/>
                <w:szCs w:val="22"/>
              </w:rPr>
            </w:pPr>
            <w:r>
              <w:rPr>
                <w:rFonts w:ascii="Cambria" w:hAnsi="Cambria"/>
                <w:sz w:val="22"/>
                <w:szCs w:val="22"/>
              </w:rPr>
              <w:t>- Wydział Oświaty i Sportu Starostwa Powiatowego w Tomaszowie Maz.</w:t>
            </w:r>
          </w:p>
          <w:p>
            <w:pPr>
              <w:pStyle w:val="TableContents"/>
              <w:rPr>
                <w:rFonts w:ascii="Cambria" w:hAnsi="Cambria"/>
                <w:sz w:val="22"/>
                <w:szCs w:val="22"/>
              </w:rPr>
            </w:pPr>
            <w:r>
              <w:rPr>
                <w:rFonts w:ascii="Cambria" w:hAnsi="Cambria"/>
                <w:sz w:val="22"/>
                <w:szCs w:val="22"/>
              </w:rPr>
              <w:t>- Organizacje Pozarządowe/ Stowarzyszenia/Fundacje.</w:t>
            </w:r>
          </w:p>
          <w:p>
            <w:pPr>
              <w:pStyle w:val="TableContents"/>
              <w:rPr>
                <w:rFonts w:ascii="Cambria" w:hAnsi="Cambria"/>
                <w:sz w:val="22"/>
                <w:szCs w:val="22"/>
              </w:rPr>
            </w:pPr>
            <w:r>
              <w:rPr>
                <w:rFonts w:ascii="Cambria" w:hAnsi="Cambria"/>
                <w:sz w:val="22"/>
                <w:szCs w:val="22"/>
              </w:rPr>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rPr>
                <w:rFonts w:ascii="Cambria" w:hAnsi="Cambria"/>
                <w:sz w:val="22"/>
                <w:szCs w:val="22"/>
              </w:rPr>
            </w:pPr>
            <w:r>
              <w:rPr>
                <w:rFonts w:ascii="Cambria" w:hAnsi="Cambria"/>
                <w:sz w:val="22"/>
                <w:szCs w:val="22"/>
              </w:rPr>
              <w:t>Cel szczegółowy 3:</w:t>
            </w:r>
          </w:p>
          <w:p>
            <w:pPr>
              <w:pStyle w:val="TableContents"/>
              <w:rPr>
                <w:rFonts w:ascii="Cambria" w:hAnsi="Cambria"/>
                <w:sz w:val="22"/>
                <w:szCs w:val="22"/>
              </w:rPr>
            </w:pPr>
            <w:r>
              <w:rPr>
                <w:rFonts w:ascii="Cambria" w:hAnsi="Cambria"/>
                <w:sz w:val="22"/>
                <w:szCs w:val="22"/>
              </w:rPr>
              <w:t>Zwiększenie skuteczności oddziaływań wobec osób stosujących przemoc domową</w:t>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jc w:val="both"/>
              <w:rPr>
                <w:rFonts w:ascii="Cambria" w:hAnsi="Cambria"/>
                <w:sz w:val="22"/>
                <w:szCs w:val="22"/>
              </w:rPr>
            </w:pPr>
            <w:r>
              <w:rPr>
                <w:rFonts w:ascii="Cambria" w:hAnsi="Cambria"/>
                <w:sz w:val="22"/>
                <w:szCs w:val="22"/>
              </w:rPr>
              <w:t>Działania:</w:t>
            </w:r>
          </w:p>
          <w:p>
            <w:pPr>
              <w:pStyle w:val="TableContents"/>
              <w:jc w:val="both"/>
              <w:rPr>
                <w:rFonts w:ascii="Cambria" w:hAnsi="Cambria"/>
                <w:sz w:val="22"/>
                <w:szCs w:val="22"/>
              </w:rPr>
            </w:pPr>
            <w:r>
              <w:rPr>
                <w:rFonts w:ascii="Cambria" w:hAnsi="Cambria"/>
                <w:sz w:val="22"/>
                <w:szCs w:val="22"/>
              </w:rPr>
              <w:t xml:space="preserve">1. Współpraca pomiędzy instytucjami działającymi w obszarze przeciwdziałania przemocy  oraz zespołów interdyscyplinarnych i grup diagnostyczno - pomocowych w zakresie motywowania </w:t>
              <w:br/>
              <w:t>i kierowania osób stosujących przemoc domową do udziału w programach korekcyjno-edukacyjnych albo programach psychologiczno – terapeutycznych.</w:t>
            </w:r>
          </w:p>
          <w:p>
            <w:pPr>
              <w:pStyle w:val="TableContents"/>
              <w:jc w:val="both"/>
              <w:rPr>
                <w:rFonts w:ascii="Cambria" w:hAnsi="Cambria"/>
                <w:sz w:val="22"/>
                <w:szCs w:val="22"/>
              </w:rPr>
            </w:pPr>
            <w:r>
              <w:rPr>
                <w:rFonts w:ascii="Cambria" w:hAnsi="Cambria"/>
                <w:sz w:val="22"/>
                <w:szCs w:val="22"/>
              </w:rPr>
              <w:t>2. Uaktualnianie bazy podmiotów co do form pracy z osobami stosującymi przemoc domową.</w:t>
            </w:r>
          </w:p>
          <w:p>
            <w:pPr>
              <w:pStyle w:val="TableContents"/>
              <w:jc w:val="both"/>
              <w:rPr>
                <w:rFonts w:ascii="Cambria" w:hAnsi="Cambria"/>
                <w:sz w:val="22"/>
                <w:szCs w:val="22"/>
              </w:rPr>
            </w:pPr>
            <w:r>
              <w:rPr>
                <w:rFonts w:ascii="Cambria" w:hAnsi="Cambria"/>
                <w:sz w:val="22"/>
                <w:szCs w:val="22"/>
              </w:rPr>
              <w:t xml:space="preserve">3. Organizowanie szkoleń, warsztatów i podnoszenia kwalifikacji dla pracowników pracujących </w:t>
              <w:br/>
              <w:t>z osobami stosującymi przemoc.</w:t>
            </w:r>
          </w:p>
          <w:p>
            <w:pPr>
              <w:pStyle w:val="TableContents"/>
              <w:rPr>
                <w:rFonts w:ascii="Cambria" w:hAnsi="Cambria"/>
                <w:sz w:val="22"/>
                <w:szCs w:val="22"/>
              </w:rPr>
            </w:pPr>
            <w:r>
              <w:rPr>
                <w:rFonts w:ascii="Cambria" w:hAnsi="Cambria"/>
                <w:sz w:val="22"/>
                <w:szCs w:val="22"/>
              </w:rPr>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jc w:val="center"/>
              <w:rPr>
                <w:rFonts w:ascii="Cambria" w:hAnsi="Cambria"/>
                <w:b/>
                <w:bCs/>
                <w:sz w:val="28"/>
                <w:szCs w:val="28"/>
              </w:rPr>
            </w:pPr>
            <w:r>
              <w:rPr>
                <w:rFonts w:ascii="Cambria" w:hAnsi="Cambria"/>
                <w:b/>
                <w:bCs/>
                <w:sz w:val="28"/>
                <w:szCs w:val="28"/>
              </w:rPr>
            </w:r>
          </w:p>
          <w:p>
            <w:pPr>
              <w:pStyle w:val="TableContents"/>
              <w:jc w:val="center"/>
              <w:rPr>
                <w:rFonts w:ascii="Cambria" w:hAnsi="Cambria"/>
                <w:b/>
                <w:bCs/>
                <w:sz w:val="28"/>
                <w:szCs w:val="28"/>
              </w:rPr>
            </w:pPr>
            <w:r>
              <w:rPr>
                <w:rFonts w:ascii="Cambria" w:hAnsi="Cambria"/>
                <w:b/>
                <w:bCs/>
                <w:sz w:val="28"/>
                <w:szCs w:val="28"/>
              </w:rPr>
              <w:t>Wskaźniki</w:t>
            </w:r>
          </w:p>
          <w:p>
            <w:pPr>
              <w:pStyle w:val="TableContents"/>
              <w:rPr>
                <w:rFonts w:ascii="Cambria" w:hAnsi="Cambria"/>
                <w:sz w:val="22"/>
                <w:szCs w:val="22"/>
              </w:rPr>
            </w:pPr>
            <w:r>
              <w:rPr>
                <w:rFonts w:ascii="Cambria" w:hAnsi="Cambria"/>
                <w:sz w:val="22"/>
                <w:szCs w:val="22"/>
              </w:rPr>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instytucji pracujących z osobami stosującymi przemoc w rodzinie</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 xml:space="preserve"> </w:t>
            </w:r>
            <w:r>
              <w:rPr>
                <w:rStyle w:val="Domylnaczcionkaakapitu"/>
                <w:rFonts w:ascii="Cambria" w:hAnsi="Cambria"/>
                <w:b/>
                <w:bCs/>
                <w:sz w:val="22"/>
                <w:szCs w:val="22"/>
              </w:rPr>
              <w:t>15</w:t>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zorganizowanych szkoleń, warsztatów dla osób pracujących z osobami stosującymi przemoc domową</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 xml:space="preserve"> </w:t>
            </w:r>
            <w:r>
              <w:rPr>
                <w:rStyle w:val="Domylnaczcionkaakapitu"/>
                <w:rFonts w:ascii="Cambria" w:hAnsi="Cambria"/>
                <w:b/>
                <w:bCs/>
                <w:sz w:val="22"/>
                <w:szCs w:val="22"/>
              </w:rPr>
              <w:t>1</w:t>
            </w:r>
          </w:p>
        </w:tc>
      </w:tr>
      <w:tr>
        <w:trPr/>
        <w:tc>
          <w:tcPr>
            <w:tcW w:w="4827" w:type="dxa"/>
            <w:tcBorders>
              <w:start w:val="single" w:sz="2" w:space="0" w:color="000000"/>
              <w:bottom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Liczba osób stosujących przemoc domową uczestniczących w programach korekcyjno- edukacyjnych albo programach psychologiczno-terapeutycznych.</w:t>
            </w:r>
          </w:p>
        </w:tc>
        <w:tc>
          <w:tcPr>
            <w:tcW w:w="4818" w:type="dxa"/>
            <w:tcBorders>
              <w:start w:val="single" w:sz="2" w:space="0" w:color="000000"/>
              <w:bottom w:val="single" w:sz="2" w:space="0" w:color="000000"/>
              <w:end w:val="single" w:sz="2" w:space="0" w:color="000000"/>
            </w:tcBorders>
            <w:shd w:fill="FFFFFF" w:val="clear"/>
          </w:tcPr>
          <w:p>
            <w:pPr>
              <w:pStyle w:val="TableContents"/>
              <w:jc w:val="center"/>
              <w:rPr/>
            </w:pPr>
            <w:r>
              <w:rPr>
                <w:rStyle w:val="Domylnaczcionkaakapitu"/>
                <w:rFonts w:ascii="Cambria" w:hAnsi="Cambria"/>
                <w:sz w:val="22"/>
                <w:szCs w:val="22"/>
              </w:rPr>
              <w:t xml:space="preserve">       </w:t>
            </w:r>
            <w:r>
              <w:rPr>
                <w:rStyle w:val="Domylnaczcionkaakapitu"/>
                <w:rFonts w:ascii="Cambria" w:hAnsi="Cambria"/>
                <w:b/>
                <w:bCs/>
                <w:sz w:val="22"/>
                <w:szCs w:val="22"/>
              </w:rPr>
              <w:t xml:space="preserve">         </w:t>
            </w:r>
            <w:r>
              <w:rPr>
                <w:rStyle w:val="Domylnaczcionkaakapitu"/>
                <w:rFonts w:ascii="Cambria" w:hAnsi="Cambria"/>
                <w:b/>
                <w:bCs/>
                <w:sz w:val="22"/>
                <w:szCs w:val="22"/>
              </w:rPr>
              <w:t xml:space="preserve">7 ( </w:t>
            </w:r>
            <w:r>
              <w:rPr>
                <w:rStyle w:val="Domylnaczcionkaakapitu"/>
                <w:rFonts w:ascii="Cambria" w:hAnsi="Cambria"/>
                <w:sz w:val="22"/>
                <w:szCs w:val="22"/>
              </w:rPr>
              <w:t>2- ZKSS )</w:t>
            </w:r>
          </w:p>
          <w:p>
            <w:pPr>
              <w:pStyle w:val="TableContents"/>
              <w:numPr>
                <w:ilvl w:val="3"/>
                <w:numId w:val="2"/>
              </w:numPr>
              <w:jc w:val="center"/>
              <w:rPr/>
            </w:pPr>
            <w:r>
              <w:rPr>
                <w:rStyle w:val="Domylnaczcionkaakapitu"/>
                <w:rFonts w:ascii="Cambria" w:hAnsi="Cambria"/>
                <w:b/>
                <w:bCs/>
                <w:sz w:val="22"/>
                <w:szCs w:val="22"/>
              </w:rPr>
              <w:t xml:space="preserve">                            </w:t>
            </w:r>
            <w:r>
              <w:rPr>
                <w:rStyle w:val="Domylnaczcionkaakapitu"/>
                <w:rFonts w:ascii="Cambria" w:hAnsi="Cambria"/>
                <w:b/>
                <w:bCs/>
                <w:sz w:val="22"/>
                <w:szCs w:val="22"/>
              </w:rPr>
              <w:t>12</w:t>
            </w:r>
            <w:r>
              <w:rPr>
                <w:rStyle w:val="Domylnaczcionkaakapitu"/>
                <w:rFonts w:ascii="Cambria" w:hAnsi="Cambria"/>
                <w:sz w:val="22"/>
                <w:szCs w:val="22"/>
              </w:rPr>
              <w:t xml:space="preserve">- osoby skierowane przez ZI i Grupę    </w:t>
            </w:r>
          </w:p>
          <w:p>
            <w:pPr>
              <w:pStyle w:val="TableContents"/>
              <w:jc w:val="center"/>
              <w:rPr>
                <w:rFonts w:ascii="Cambria" w:hAnsi="Cambria"/>
                <w:sz w:val="22"/>
                <w:szCs w:val="22"/>
              </w:rPr>
            </w:pPr>
            <w:r>
              <w:rPr>
                <w:rFonts w:ascii="Cambria" w:hAnsi="Cambria"/>
                <w:sz w:val="22"/>
                <w:szCs w:val="22"/>
              </w:rPr>
              <w:t xml:space="preserve">                       </w:t>
            </w:r>
            <w:r>
              <w:rPr>
                <w:rFonts w:ascii="Cambria" w:hAnsi="Cambria"/>
                <w:sz w:val="22"/>
                <w:szCs w:val="22"/>
              </w:rPr>
              <w:t>diagnostyczno- pomocową</w:t>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rPr>
                <w:rFonts w:ascii="Cambria" w:hAnsi="Cambria"/>
                <w:b/>
                <w:bCs/>
                <w:sz w:val="22"/>
                <w:szCs w:val="22"/>
              </w:rPr>
            </w:pPr>
            <w:r>
              <w:rPr>
                <w:rFonts w:ascii="Cambria" w:hAnsi="Cambria"/>
                <w:b/>
                <w:bCs/>
                <w:sz w:val="22"/>
                <w:szCs w:val="22"/>
              </w:rPr>
              <w:t>Podmiot odpowiedzialny za realizację zadania:</w:t>
            </w:r>
          </w:p>
          <w:p>
            <w:pPr>
              <w:pStyle w:val="TableContents"/>
              <w:rPr>
                <w:rFonts w:ascii="Cambria" w:hAnsi="Cambria"/>
                <w:sz w:val="22"/>
                <w:szCs w:val="22"/>
              </w:rPr>
            </w:pPr>
            <w:r>
              <w:rPr>
                <w:rFonts w:ascii="Cambria" w:hAnsi="Cambria"/>
                <w:sz w:val="22"/>
                <w:szCs w:val="22"/>
              </w:rPr>
            </w:r>
          </w:p>
          <w:p>
            <w:pPr>
              <w:pStyle w:val="TableContents"/>
              <w:rPr>
                <w:rFonts w:ascii="Cambria" w:hAnsi="Cambria"/>
                <w:sz w:val="22"/>
                <w:szCs w:val="22"/>
              </w:rPr>
            </w:pPr>
            <w:r>
              <w:rPr>
                <w:rFonts w:ascii="Cambria" w:hAnsi="Cambria"/>
                <w:sz w:val="22"/>
                <w:szCs w:val="22"/>
              </w:rPr>
              <w:t>- Miejski Ośrodek Pomocy Społecznej;</w:t>
            </w:r>
          </w:p>
          <w:p>
            <w:pPr>
              <w:pStyle w:val="TableContents"/>
              <w:rPr>
                <w:rFonts w:ascii="Cambria" w:hAnsi="Cambria"/>
                <w:sz w:val="22"/>
                <w:szCs w:val="22"/>
              </w:rPr>
            </w:pPr>
            <w:r>
              <w:rPr>
                <w:rFonts w:ascii="Cambria" w:hAnsi="Cambria"/>
                <w:sz w:val="22"/>
                <w:szCs w:val="22"/>
              </w:rPr>
              <w:t>- Komenda Powiatowa Policji;</w:t>
            </w:r>
          </w:p>
          <w:p>
            <w:pPr>
              <w:pStyle w:val="TableContents"/>
              <w:rPr>
                <w:rFonts w:ascii="Cambria" w:hAnsi="Cambria"/>
                <w:sz w:val="22"/>
                <w:szCs w:val="22"/>
              </w:rPr>
            </w:pPr>
            <w:r>
              <w:rPr>
                <w:rFonts w:ascii="Cambria" w:hAnsi="Cambria"/>
                <w:sz w:val="22"/>
                <w:szCs w:val="22"/>
              </w:rPr>
              <w:t>- Sąd Rejonowy;</w:t>
            </w:r>
          </w:p>
          <w:p>
            <w:pPr>
              <w:pStyle w:val="TableContents"/>
              <w:rPr>
                <w:rFonts w:ascii="Cambria" w:hAnsi="Cambria"/>
                <w:sz w:val="22"/>
                <w:szCs w:val="22"/>
              </w:rPr>
            </w:pPr>
            <w:r>
              <w:rPr>
                <w:rFonts w:ascii="Cambria" w:hAnsi="Cambria"/>
                <w:sz w:val="22"/>
                <w:szCs w:val="22"/>
              </w:rPr>
              <w:t>- Miejska Komisja Rozwiązywania Problemów Alkoholowych;</w:t>
            </w:r>
          </w:p>
          <w:p>
            <w:pPr>
              <w:pStyle w:val="TableContents"/>
              <w:rPr>
                <w:rFonts w:ascii="Cambria" w:hAnsi="Cambria"/>
                <w:sz w:val="22"/>
                <w:szCs w:val="22"/>
              </w:rPr>
            </w:pPr>
            <w:r>
              <w:rPr>
                <w:rFonts w:ascii="Cambria" w:hAnsi="Cambria"/>
                <w:sz w:val="22"/>
                <w:szCs w:val="22"/>
              </w:rPr>
              <w:t>- Organizacje Pozarządowe / Stowarzyszenia;</w:t>
            </w:r>
          </w:p>
          <w:p>
            <w:pPr>
              <w:pStyle w:val="TableContents"/>
              <w:rPr>
                <w:rFonts w:ascii="Cambria" w:hAnsi="Cambria"/>
                <w:sz w:val="22"/>
                <w:szCs w:val="22"/>
              </w:rPr>
            </w:pPr>
            <w:r>
              <w:rPr>
                <w:rFonts w:ascii="Cambria" w:hAnsi="Cambria"/>
                <w:sz w:val="22"/>
                <w:szCs w:val="22"/>
              </w:rPr>
              <w:t>- Powiatowe Centrum Pomocy Rodzinie</w:t>
            </w:r>
          </w:p>
          <w:p>
            <w:pPr>
              <w:pStyle w:val="TableContents"/>
              <w:rPr>
                <w:rFonts w:ascii="Cambria" w:hAnsi="Cambria"/>
                <w:sz w:val="22"/>
                <w:szCs w:val="22"/>
              </w:rPr>
            </w:pPr>
            <w:r>
              <w:rPr>
                <w:rFonts w:ascii="Cambria" w:hAnsi="Cambria"/>
                <w:sz w:val="22"/>
                <w:szCs w:val="22"/>
              </w:rPr>
              <w:t>- Ośrodek Interwencji Kryzysowej</w:t>
            </w:r>
          </w:p>
          <w:p>
            <w:pPr>
              <w:pStyle w:val="TableContents"/>
              <w:rPr>
                <w:rFonts w:ascii="Cambria" w:hAnsi="Cambria"/>
                <w:sz w:val="22"/>
                <w:szCs w:val="22"/>
              </w:rPr>
            </w:pPr>
            <w:r>
              <w:rPr>
                <w:rFonts w:ascii="Cambria" w:hAnsi="Cambria"/>
                <w:sz w:val="22"/>
                <w:szCs w:val="22"/>
              </w:rPr>
              <w:t>- Organizacja Pozarządowe/ Stowarzyszenia/Fundacje.</w:t>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jc w:val="both"/>
              <w:rPr>
                <w:rFonts w:ascii="Cambria" w:hAnsi="Cambria"/>
                <w:sz w:val="22"/>
                <w:szCs w:val="22"/>
              </w:rPr>
            </w:pPr>
            <w:r>
              <w:rPr>
                <w:rFonts w:ascii="Cambria" w:hAnsi="Cambria"/>
                <w:sz w:val="22"/>
                <w:szCs w:val="22"/>
              </w:rPr>
              <w:t>Cel szczegółowy 4:</w:t>
            </w:r>
          </w:p>
          <w:p>
            <w:pPr>
              <w:pStyle w:val="TableContents"/>
              <w:jc w:val="both"/>
              <w:rPr/>
            </w:pPr>
            <w:r>
              <w:rPr>
                <w:rStyle w:val="Domylnaczcionkaakapitu"/>
                <w:rFonts w:ascii="Cambria" w:hAnsi="Cambria"/>
                <w:sz w:val="22"/>
                <w:szCs w:val="22"/>
              </w:rPr>
              <w:t>Zintensyfikowanie działań profilaktycznych w zakresie</w:t>
            </w:r>
            <w:r>
              <w:rPr>
                <w:rStyle w:val="Domylnaczcionkaakapitu"/>
                <w:rFonts w:eastAsia="Liberation Serif" w:cs="Liberation Serif" w:ascii="Cambria" w:hAnsi="Cambria"/>
                <w:sz w:val="22"/>
                <w:szCs w:val="22"/>
              </w:rPr>
              <w:t xml:space="preserve"> </w:t>
            </w:r>
            <w:r>
              <w:rPr>
                <w:rStyle w:val="Domylnaczcionkaakapitu"/>
                <w:rFonts w:ascii="Cambria" w:hAnsi="Cambria"/>
                <w:sz w:val="22"/>
                <w:szCs w:val="22"/>
              </w:rPr>
              <w:t>przeciwdziałania przemocy wśród mieszkańców Tomaszowa Maz.</w:t>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rPr>
                <w:rFonts w:ascii="Cambria" w:hAnsi="Cambria"/>
                <w:sz w:val="22"/>
                <w:szCs w:val="22"/>
              </w:rPr>
            </w:pPr>
            <w:r>
              <w:rPr>
                <w:rFonts w:ascii="Cambria" w:hAnsi="Cambria"/>
                <w:sz w:val="22"/>
                <w:szCs w:val="22"/>
              </w:rPr>
              <w:t>Działania:</w:t>
            </w:r>
          </w:p>
          <w:p>
            <w:pPr>
              <w:pStyle w:val="TableContents"/>
              <w:rPr>
                <w:rFonts w:ascii="Cambria" w:hAnsi="Cambria"/>
                <w:sz w:val="22"/>
                <w:szCs w:val="22"/>
              </w:rPr>
            </w:pPr>
            <w:r>
              <w:rPr>
                <w:rFonts w:ascii="Cambria" w:hAnsi="Cambria"/>
                <w:sz w:val="22"/>
                <w:szCs w:val="22"/>
              </w:rPr>
              <w:t>1. Wsparcie w ramach Ośrodka Interwencji Kryzysowej.</w:t>
            </w:r>
          </w:p>
          <w:p>
            <w:pPr>
              <w:pStyle w:val="TableContents"/>
              <w:rPr>
                <w:rFonts w:ascii="Cambria" w:hAnsi="Cambria"/>
                <w:sz w:val="22"/>
                <w:szCs w:val="22"/>
              </w:rPr>
            </w:pPr>
            <w:r>
              <w:rPr>
                <w:rFonts w:ascii="Cambria" w:hAnsi="Cambria"/>
                <w:sz w:val="22"/>
                <w:szCs w:val="22"/>
              </w:rPr>
              <w:t>2. Porady psychologiczne i prawne.</w:t>
            </w:r>
          </w:p>
          <w:p>
            <w:pPr>
              <w:pStyle w:val="TableContents"/>
              <w:rPr>
                <w:rFonts w:ascii="Cambria" w:hAnsi="Cambria"/>
                <w:sz w:val="22"/>
                <w:szCs w:val="22"/>
              </w:rPr>
            </w:pPr>
            <w:r>
              <w:rPr>
                <w:rFonts w:ascii="Cambria" w:hAnsi="Cambria"/>
                <w:sz w:val="22"/>
                <w:szCs w:val="22"/>
              </w:rPr>
              <w:t>3. Działania interwencyjne podejmowane przez Zespół ds. Przeciwdziałania Przemocy Domowej;</w:t>
            </w:r>
          </w:p>
          <w:p>
            <w:pPr>
              <w:pStyle w:val="TableContents"/>
              <w:rPr>
                <w:rFonts w:ascii="Cambria" w:hAnsi="Cambria"/>
                <w:sz w:val="22"/>
                <w:szCs w:val="22"/>
              </w:rPr>
            </w:pPr>
            <w:r>
              <w:rPr>
                <w:rFonts w:ascii="Cambria" w:hAnsi="Cambria"/>
                <w:sz w:val="22"/>
                <w:szCs w:val="22"/>
              </w:rPr>
              <w:t>4. Zabezpieczenie dzieci w środowisku zastępczym.</w:t>
            </w:r>
          </w:p>
          <w:p>
            <w:pPr>
              <w:pStyle w:val="TableContents"/>
              <w:rPr>
                <w:rFonts w:ascii="Cambria" w:hAnsi="Cambria"/>
                <w:sz w:val="22"/>
                <w:szCs w:val="22"/>
              </w:rPr>
            </w:pPr>
            <w:r>
              <w:rPr>
                <w:rFonts w:ascii="Cambria" w:hAnsi="Cambria"/>
                <w:sz w:val="22"/>
                <w:szCs w:val="22"/>
              </w:rPr>
              <w:t>5. Mediacja rodzinna.</w:t>
            </w:r>
          </w:p>
          <w:p>
            <w:pPr>
              <w:pStyle w:val="TableContents"/>
              <w:rPr>
                <w:rFonts w:ascii="Cambria" w:hAnsi="Cambria"/>
                <w:sz w:val="22"/>
                <w:szCs w:val="22"/>
              </w:rPr>
            </w:pPr>
            <w:r>
              <w:rPr>
                <w:rFonts w:ascii="Cambria" w:hAnsi="Cambria"/>
                <w:sz w:val="22"/>
                <w:szCs w:val="22"/>
              </w:rPr>
              <w:t>6. Wnioski do Sądu, Prokuratury, na Policję, do Miejskiej Komisji Rozwiązywania Problemów Alkoholowych.</w:t>
            </w:r>
          </w:p>
          <w:p>
            <w:pPr>
              <w:pStyle w:val="TableContents"/>
              <w:rPr>
                <w:rFonts w:ascii="Cambria" w:hAnsi="Cambria"/>
                <w:sz w:val="22"/>
                <w:szCs w:val="22"/>
              </w:rPr>
            </w:pPr>
            <w:r>
              <w:rPr>
                <w:rFonts w:ascii="Cambria" w:hAnsi="Cambria"/>
                <w:sz w:val="22"/>
                <w:szCs w:val="22"/>
              </w:rPr>
              <w:t>7. Profesjonalna pomoc doradcza, terapeutyczna, socjalna rodzinom dotkniętym przemocą domową.</w:t>
            </w:r>
          </w:p>
          <w:p>
            <w:pPr>
              <w:pStyle w:val="TableContents"/>
              <w:rPr>
                <w:rFonts w:ascii="Cambria" w:hAnsi="Cambria"/>
                <w:sz w:val="22"/>
                <w:szCs w:val="22"/>
              </w:rPr>
            </w:pPr>
            <w:r>
              <w:rPr>
                <w:rFonts w:ascii="Cambria" w:hAnsi="Cambria"/>
                <w:sz w:val="22"/>
                <w:szCs w:val="22"/>
              </w:rPr>
              <w:t>8. Liczba przeprowadzonych porad.</w:t>
            </w:r>
          </w:p>
          <w:p>
            <w:pPr>
              <w:pStyle w:val="TableContents"/>
              <w:rPr>
                <w:rFonts w:ascii="Cambria" w:hAnsi="Cambria"/>
                <w:sz w:val="22"/>
                <w:szCs w:val="22"/>
              </w:rPr>
            </w:pPr>
            <w:r>
              <w:rPr>
                <w:rFonts w:ascii="Cambria" w:hAnsi="Cambria"/>
                <w:sz w:val="22"/>
                <w:szCs w:val="22"/>
              </w:rPr>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jc w:val="center"/>
              <w:rPr>
                <w:rFonts w:ascii="Cambria" w:hAnsi="Cambria"/>
                <w:b/>
                <w:bCs/>
                <w:sz w:val="28"/>
                <w:szCs w:val="28"/>
              </w:rPr>
            </w:pPr>
            <w:r>
              <w:rPr>
                <w:rFonts w:ascii="Cambria" w:hAnsi="Cambria"/>
                <w:b/>
                <w:bCs/>
                <w:sz w:val="28"/>
                <w:szCs w:val="28"/>
              </w:rPr>
            </w:r>
          </w:p>
          <w:p>
            <w:pPr>
              <w:pStyle w:val="TableContents"/>
              <w:jc w:val="center"/>
              <w:rPr>
                <w:rFonts w:ascii="Cambria" w:hAnsi="Cambria"/>
                <w:b/>
                <w:bCs/>
                <w:sz w:val="28"/>
                <w:szCs w:val="28"/>
              </w:rPr>
            </w:pPr>
            <w:r>
              <w:rPr>
                <w:rFonts w:ascii="Cambria" w:hAnsi="Cambria"/>
                <w:b/>
                <w:bCs/>
                <w:sz w:val="28"/>
                <w:szCs w:val="28"/>
              </w:rPr>
              <w:t>Wskaźniki</w:t>
            </w:r>
          </w:p>
          <w:p>
            <w:pPr>
              <w:pStyle w:val="TableContents"/>
              <w:rPr>
                <w:rFonts w:ascii="Cambria" w:hAnsi="Cambria"/>
                <w:b/>
                <w:bCs/>
                <w:sz w:val="20"/>
                <w:szCs w:val="20"/>
              </w:rPr>
            </w:pPr>
            <w:r>
              <w:rPr>
                <w:rFonts w:ascii="Cambria" w:hAnsi="Cambria"/>
                <w:b/>
                <w:bCs/>
                <w:sz w:val="20"/>
                <w:szCs w:val="20"/>
              </w:rPr>
            </w:r>
          </w:p>
        </w:tc>
      </w:tr>
      <w:tr>
        <w:trPr/>
        <w:tc>
          <w:tcPr>
            <w:tcW w:w="4827" w:type="dxa"/>
            <w:tcBorders>
              <w:start w:val="single" w:sz="2" w:space="0" w:color="000000"/>
              <w:bottom w:val="single" w:sz="2" w:space="0" w:color="000000"/>
            </w:tcBorders>
            <w:shd w:fill="FFFFFF" w:val="clear"/>
          </w:tcPr>
          <w:p>
            <w:pPr>
              <w:pStyle w:val="TableContents"/>
              <w:spacing w:lineRule="auto" w:line="276"/>
              <w:rPr>
                <w:rFonts w:ascii="Cambria" w:hAnsi="Cambria" w:cs="Calibri"/>
                <w:b/>
                <w:bCs/>
                <w:sz w:val="22"/>
                <w:szCs w:val="22"/>
              </w:rPr>
            </w:pPr>
            <w:r>
              <w:rPr>
                <w:rFonts w:cs="Calibri" w:ascii="Cambria" w:hAnsi="Cambria"/>
                <w:b/>
                <w:bCs/>
                <w:sz w:val="22"/>
                <w:szCs w:val="22"/>
              </w:rPr>
              <w:t>Liczba porad rodzinnych i przeprowadzonych szkoleń dla rodzin w ramach Ośrodka Interwencji Kryzysowej</w:t>
            </w:r>
          </w:p>
        </w:tc>
        <w:tc>
          <w:tcPr>
            <w:tcW w:w="4818" w:type="dxa"/>
            <w:tcBorders>
              <w:start w:val="single" w:sz="2" w:space="0" w:color="000000"/>
              <w:bottom w:val="single" w:sz="2" w:space="0" w:color="000000"/>
              <w:end w:val="single" w:sz="2" w:space="0" w:color="000000"/>
            </w:tcBorders>
            <w:shd w:fill="FFFFFF" w:val="clear"/>
          </w:tcPr>
          <w:p>
            <w:pPr>
              <w:pStyle w:val="TableContents"/>
              <w:spacing w:lineRule="auto" w:line="276"/>
              <w:jc w:val="center"/>
              <w:rPr>
                <w:rFonts w:ascii="Cambria" w:hAnsi="Cambria" w:cs="Calibri"/>
                <w:b/>
                <w:bCs/>
                <w:sz w:val="22"/>
                <w:szCs w:val="22"/>
              </w:rPr>
            </w:pPr>
            <w:r>
              <w:rPr>
                <w:rFonts w:cs="Calibri" w:ascii="Cambria" w:hAnsi="Cambria"/>
                <w:b/>
                <w:bCs/>
                <w:sz w:val="22"/>
                <w:szCs w:val="22"/>
              </w:rPr>
              <w:t>ogółem 725</w:t>
            </w:r>
          </w:p>
          <w:p>
            <w:pPr>
              <w:pStyle w:val="TableContents"/>
              <w:numPr>
                <w:ilvl w:val="0"/>
                <w:numId w:val="2"/>
              </w:numPr>
              <w:spacing w:lineRule="auto" w:line="276"/>
              <w:jc w:val="center"/>
              <w:rPr>
                <w:rFonts w:ascii="Cambria" w:hAnsi="Cambria" w:cs="Calibri"/>
                <w:b/>
                <w:bCs/>
                <w:sz w:val="22"/>
                <w:szCs w:val="22"/>
              </w:rPr>
            </w:pPr>
            <w:r>
              <w:rPr>
                <w:rFonts w:cs="Calibri" w:ascii="Cambria" w:hAnsi="Cambria"/>
                <w:b/>
                <w:bCs/>
                <w:sz w:val="22"/>
                <w:szCs w:val="22"/>
              </w:rPr>
              <w:t>72- przemoc domowa</w:t>
            </w:r>
          </w:p>
        </w:tc>
      </w:tr>
      <w:tr>
        <w:trPr/>
        <w:tc>
          <w:tcPr>
            <w:tcW w:w="4827" w:type="dxa"/>
            <w:tcBorders>
              <w:start w:val="single" w:sz="2" w:space="0" w:color="000000"/>
              <w:bottom w:val="single" w:sz="2" w:space="0" w:color="000000"/>
            </w:tcBorders>
            <w:shd w:fill="FFFFFF" w:val="clear"/>
          </w:tcPr>
          <w:p>
            <w:pPr>
              <w:pStyle w:val="TableContents"/>
              <w:spacing w:lineRule="auto" w:line="276"/>
              <w:rPr>
                <w:rFonts w:ascii="Cambria" w:hAnsi="Cambria" w:cs="Calibri"/>
                <w:b/>
                <w:bCs/>
                <w:sz w:val="22"/>
                <w:szCs w:val="22"/>
              </w:rPr>
            </w:pPr>
            <w:r>
              <w:rPr>
                <w:rFonts w:cs="Calibri" w:ascii="Cambria" w:hAnsi="Cambria"/>
                <w:b/>
                <w:bCs/>
                <w:sz w:val="22"/>
                <w:szCs w:val="22"/>
              </w:rPr>
              <w:t>Liczba przeprowadzonych konsultacji psychologicznych i porad prawnych</w:t>
            </w:r>
          </w:p>
        </w:tc>
        <w:tc>
          <w:tcPr>
            <w:tcW w:w="4818" w:type="dxa"/>
            <w:tcBorders>
              <w:start w:val="single" w:sz="2" w:space="0" w:color="000000"/>
              <w:bottom w:val="single" w:sz="2" w:space="0" w:color="000000"/>
              <w:end w:val="single" w:sz="2" w:space="0" w:color="000000"/>
            </w:tcBorders>
            <w:shd w:fill="FFFFFF" w:val="clear"/>
          </w:tcPr>
          <w:p>
            <w:pPr>
              <w:pStyle w:val="TableContents"/>
              <w:spacing w:lineRule="auto" w:line="276"/>
              <w:jc w:val="center"/>
              <w:rPr>
                <w:rFonts w:ascii="Cambria" w:hAnsi="Cambria" w:cs="Calibri"/>
                <w:b/>
                <w:bCs/>
                <w:sz w:val="22"/>
                <w:szCs w:val="22"/>
              </w:rPr>
            </w:pPr>
            <w:r>
              <w:rPr>
                <w:rFonts w:cs="Calibri" w:ascii="Cambria" w:hAnsi="Cambria"/>
                <w:b/>
                <w:bCs/>
                <w:sz w:val="22"/>
                <w:szCs w:val="22"/>
              </w:rPr>
              <w:t>ogółem 606</w:t>
            </w:r>
          </w:p>
          <w:p>
            <w:pPr>
              <w:pStyle w:val="TableContents"/>
              <w:numPr>
                <w:ilvl w:val="0"/>
                <w:numId w:val="2"/>
              </w:numPr>
              <w:spacing w:lineRule="auto" w:line="276"/>
              <w:jc w:val="center"/>
              <w:rPr>
                <w:rFonts w:ascii="Cambria" w:hAnsi="Cambria" w:cs="Calibri"/>
                <w:b/>
                <w:bCs/>
                <w:sz w:val="22"/>
                <w:szCs w:val="22"/>
              </w:rPr>
            </w:pPr>
            <w:r>
              <w:rPr>
                <w:rFonts w:cs="Calibri" w:ascii="Cambria" w:hAnsi="Cambria"/>
                <w:b/>
                <w:bCs/>
                <w:sz w:val="22"/>
                <w:szCs w:val="22"/>
              </w:rPr>
              <w:t>249-przemoc domowa</w:t>
            </w:r>
          </w:p>
        </w:tc>
      </w:tr>
      <w:tr>
        <w:trPr/>
        <w:tc>
          <w:tcPr>
            <w:tcW w:w="4827" w:type="dxa"/>
            <w:tcBorders>
              <w:start w:val="single" w:sz="2" w:space="0" w:color="000000"/>
              <w:bottom w:val="single" w:sz="2" w:space="0" w:color="000000"/>
            </w:tcBorders>
            <w:shd w:fill="FFFFFF" w:val="clear"/>
          </w:tcPr>
          <w:p>
            <w:pPr>
              <w:pStyle w:val="TableContents"/>
              <w:spacing w:lineRule="auto" w:line="276"/>
              <w:rPr>
                <w:rFonts w:ascii="Cambria" w:hAnsi="Cambria" w:cs="Calibri"/>
                <w:b/>
                <w:bCs/>
                <w:sz w:val="22"/>
                <w:szCs w:val="22"/>
              </w:rPr>
            </w:pPr>
            <w:r>
              <w:rPr>
                <w:rFonts w:cs="Calibri" w:ascii="Cambria" w:hAnsi="Cambria"/>
                <w:b/>
                <w:bCs/>
                <w:sz w:val="22"/>
                <w:szCs w:val="22"/>
              </w:rPr>
              <w:t>Liczba wizyt w środowiskach w związku ze sporządzeniem Niebieskiej Karty C</w:t>
            </w:r>
          </w:p>
        </w:tc>
        <w:tc>
          <w:tcPr>
            <w:tcW w:w="4818" w:type="dxa"/>
            <w:tcBorders>
              <w:start w:val="single" w:sz="2" w:space="0" w:color="000000"/>
              <w:bottom w:val="single" w:sz="2" w:space="0" w:color="000000"/>
              <w:end w:val="single" w:sz="2" w:space="0" w:color="000000"/>
            </w:tcBorders>
            <w:shd w:fill="FFFFFF" w:val="clear"/>
          </w:tcPr>
          <w:p>
            <w:pPr>
              <w:pStyle w:val="TableContents"/>
              <w:spacing w:lineRule="auto" w:line="276"/>
              <w:jc w:val="center"/>
              <w:rPr>
                <w:rFonts w:ascii="Cambria" w:hAnsi="Cambria" w:cs="Calibri"/>
                <w:b/>
                <w:bCs/>
                <w:sz w:val="22"/>
                <w:szCs w:val="22"/>
              </w:rPr>
            </w:pPr>
            <w:r>
              <w:rPr>
                <w:rFonts w:cs="Calibri" w:ascii="Cambria" w:hAnsi="Cambria"/>
                <w:b/>
                <w:bCs/>
                <w:sz w:val="22"/>
                <w:szCs w:val="22"/>
              </w:rPr>
              <w:t xml:space="preserve">          </w:t>
            </w:r>
            <w:r>
              <w:rPr>
                <w:rFonts w:cs="Calibri" w:ascii="Cambria" w:hAnsi="Cambria"/>
                <w:b/>
                <w:bCs/>
                <w:sz w:val="22"/>
                <w:szCs w:val="22"/>
              </w:rPr>
              <w:t>5472</w:t>
            </w:r>
          </w:p>
        </w:tc>
      </w:tr>
      <w:tr>
        <w:trPr/>
        <w:tc>
          <w:tcPr>
            <w:tcW w:w="4827" w:type="dxa"/>
            <w:tcBorders>
              <w:start w:val="single" w:sz="2" w:space="0" w:color="000000"/>
              <w:bottom w:val="single" w:sz="2" w:space="0" w:color="000000"/>
            </w:tcBorders>
            <w:shd w:fill="FFFFFF" w:val="clear"/>
          </w:tcPr>
          <w:p>
            <w:pPr>
              <w:pStyle w:val="TableContents"/>
              <w:spacing w:lineRule="auto" w:line="276"/>
              <w:rPr>
                <w:rFonts w:ascii="Cambria" w:hAnsi="Cambria" w:cs="Calibri"/>
                <w:b/>
                <w:bCs/>
                <w:sz w:val="22"/>
                <w:szCs w:val="22"/>
              </w:rPr>
            </w:pPr>
            <w:r>
              <w:rPr>
                <w:rFonts w:cs="Calibri" w:ascii="Cambria" w:hAnsi="Cambria"/>
                <w:b/>
                <w:bCs/>
                <w:sz w:val="22"/>
                <w:szCs w:val="22"/>
              </w:rPr>
              <w:t>Liczba Niebieskich Kart</w:t>
            </w:r>
          </w:p>
        </w:tc>
        <w:tc>
          <w:tcPr>
            <w:tcW w:w="4818" w:type="dxa"/>
            <w:tcBorders>
              <w:start w:val="single" w:sz="2" w:space="0" w:color="000000"/>
              <w:bottom w:val="single" w:sz="2" w:space="0" w:color="000000"/>
              <w:end w:val="single" w:sz="2" w:space="0" w:color="000000"/>
            </w:tcBorders>
            <w:shd w:fill="FFFFFF" w:val="clear"/>
          </w:tcPr>
          <w:p>
            <w:pPr>
              <w:pStyle w:val="TableContents"/>
              <w:spacing w:lineRule="auto" w:line="276"/>
              <w:jc w:val="center"/>
              <w:rPr>
                <w:rFonts w:ascii="Cambria" w:hAnsi="Cambria" w:cs="Calibri"/>
                <w:b/>
                <w:bCs/>
                <w:sz w:val="22"/>
                <w:szCs w:val="22"/>
              </w:rPr>
            </w:pPr>
            <w:r>
              <w:rPr>
                <w:rFonts w:cs="Calibri" w:ascii="Cambria" w:hAnsi="Cambria"/>
                <w:b/>
                <w:bCs/>
                <w:sz w:val="22"/>
                <w:szCs w:val="22"/>
              </w:rPr>
              <w:t>190 założonych w 2025r.</w:t>
            </w:r>
          </w:p>
          <w:p>
            <w:pPr>
              <w:pStyle w:val="TableContents"/>
              <w:spacing w:lineRule="auto" w:line="276"/>
              <w:jc w:val="center"/>
              <w:rPr>
                <w:rFonts w:ascii="Cambria" w:hAnsi="Cambria" w:cs="Calibri"/>
                <w:b/>
                <w:bCs/>
                <w:sz w:val="22"/>
                <w:szCs w:val="22"/>
              </w:rPr>
            </w:pPr>
            <w:r>
              <w:rPr>
                <w:rFonts w:cs="Calibri" w:ascii="Cambria" w:hAnsi="Cambria"/>
                <w:b/>
                <w:bCs/>
                <w:sz w:val="22"/>
                <w:szCs w:val="22"/>
              </w:rPr>
              <w:t>88 kontynuowanych z lat poprzednich</w:t>
            </w:r>
          </w:p>
          <w:p>
            <w:pPr>
              <w:pStyle w:val="TableContents"/>
              <w:spacing w:lineRule="auto" w:line="276"/>
              <w:jc w:val="center"/>
              <w:rPr>
                <w:rFonts w:ascii="Cambria" w:hAnsi="Cambria" w:cs="Calibri"/>
                <w:b/>
                <w:bCs/>
                <w:sz w:val="22"/>
                <w:szCs w:val="22"/>
              </w:rPr>
            </w:pPr>
            <w:r>
              <w:rPr>
                <w:rFonts w:cs="Calibri" w:ascii="Cambria" w:hAnsi="Cambria"/>
                <w:b/>
                <w:bCs/>
                <w:sz w:val="22"/>
                <w:szCs w:val="22"/>
              </w:rPr>
              <w:t>179 w monitoringu po zakończeniu procedury</w:t>
            </w:r>
          </w:p>
          <w:p>
            <w:pPr>
              <w:pStyle w:val="TableContents"/>
              <w:numPr>
                <w:ilvl w:val="0"/>
                <w:numId w:val="2"/>
              </w:numPr>
              <w:spacing w:lineRule="auto" w:line="276"/>
              <w:jc w:val="center"/>
              <w:rPr>
                <w:rFonts w:ascii="Cambria" w:hAnsi="Cambria" w:cs="Calibri"/>
                <w:b/>
                <w:bCs/>
                <w:sz w:val="22"/>
                <w:szCs w:val="22"/>
              </w:rPr>
            </w:pPr>
            <w:r>
              <w:rPr>
                <w:rFonts w:cs="Calibri" w:ascii="Cambria" w:hAnsi="Cambria"/>
                <w:b/>
                <w:bCs/>
                <w:sz w:val="22"/>
                <w:szCs w:val="22"/>
              </w:rPr>
              <w:t>Razem : 457</w:t>
            </w:r>
          </w:p>
        </w:tc>
      </w:tr>
      <w:tr>
        <w:trPr/>
        <w:tc>
          <w:tcPr>
            <w:tcW w:w="4827" w:type="dxa"/>
            <w:tcBorders>
              <w:start w:val="single" w:sz="2" w:space="0" w:color="000000"/>
              <w:bottom w:val="single" w:sz="2" w:space="0" w:color="000000"/>
            </w:tcBorders>
            <w:shd w:fill="FFFFFF" w:val="clear"/>
          </w:tcPr>
          <w:p>
            <w:pPr>
              <w:pStyle w:val="TableContents"/>
              <w:spacing w:lineRule="auto" w:line="276"/>
              <w:rPr>
                <w:rFonts w:ascii="Cambria" w:hAnsi="Cambria" w:cs="Calibri"/>
                <w:b/>
                <w:bCs/>
                <w:sz w:val="22"/>
                <w:szCs w:val="22"/>
              </w:rPr>
            </w:pPr>
            <w:r>
              <w:rPr>
                <w:rFonts w:cs="Calibri" w:ascii="Cambria" w:hAnsi="Cambria"/>
                <w:b/>
                <w:bCs/>
                <w:sz w:val="22"/>
                <w:szCs w:val="22"/>
              </w:rPr>
              <w:t>Liczba rodzin umieszczonych w mieszkaniach treningowych, Ośrodku dla Ofiar Przemocy Domowej, Domu Samotnej Matki;</w:t>
            </w:r>
          </w:p>
        </w:tc>
        <w:tc>
          <w:tcPr>
            <w:tcW w:w="4818" w:type="dxa"/>
            <w:tcBorders>
              <w:start w:val="single" w:sz="2" w:space="0" w:color="000000"/>
              <w:bottom w:val="single" w:sz="2" w:space="0" w:color="000000"/>
              <w:end w:val="single" w:sz="2" w:space="0" w:color="000000"/>
            </w:tcBorders>
            <w:shd w:fill="FFFFFF" w:val="clear"/>
          </w:tcPr>
          <w:p>
            <w:pPr>
              <w:pStyle w:val="TableContents"/>
              <w:spacing w:lineRule="auto" w:line="276"/>
              <w:jc w:val="center"/>
              <w:rPr>
                <w:rFonts w:ascii="Cambria" w:hAnsi="Cambria" w:cs="Calibri"/>
                <w:b/>
                <w:bCs/>
                <w:sz w:val="22"/>
                <w:szCs w:val="22"/>
              </w:rPr>
            </w:pPr>
            <w:r>
              <w:rPr>
                <w:rFonts w:cs="Calibri" w:ascii="Cambria" w:hAnsi="Cambria"/>
                <w:b/>
                <w:bCs/>
                <w:sz w:val="22"/>
                <w:szCs w:val="22"/>
              </w:rPr>
              <w:t>2 – w związku z przemocą</w:t>
            </w:r>
          </w:p>
        </w:tc>
      </w:tr>
      <w:tr>
        <w:trPr/>
        <w:tc>
          <w:tcPr>
            <w:tcW w:w="4827" w:type="dxa"/>
            <w:tcBorders>
              <w:start w:val="single" w:sz="2" w:space="0" w:color="000000"/>
              <w:bottom w:val="single" w:sz="2" w:space="0" w:color="000000"/>
            </w:tcBorders>
            <w:shd w:fill="FFFFFF" w:val="clear"/>
          </w:tcPr>
          <w:p>
            <w:pPr>
              <w:pStyle w:val="TableContents"/>
              <w:spacing w:lineRule="auto" w:line="276"/>
              <w:rPr>
                <w:rFonts w:ascii="Cambria" w:hAnsi="Cambria" w:cs="Calibri"/>
                <w:b/>
                <w:bCs/>
                <w:sz w:val="22"/>
                <w:szCs w:val="22"/>
              </w:rPr>
            </w:pPr>
            <w:r>
              <w:rPr>
                <w:rFonts w:cs="Calibri" w:ascii="Cambria" w:hAnsi="Cambria"/>
                <w:b/>
                <w:bCs/>
                <w:sz w:val="22"/>
                <w:szCs w:val="22"/>
              </w:rPr>
              <w:t>Liczba interwencji</w:t>
            </w:r>
          </w:p>
        </w:tc>
        <w:tc>
          <w:tcPr>
            <w:tcW w:w="4818" w:type="dxa"/>
            <w:tcBorders>
              <w:start w:val="single" w:sz="2" w:space="0" w:color="000000"/>
              <w:bottom w:val="single" w:sz="2" w:space="0" w:color="000000"/>
              <w:end w:val="single" w:sz="2" w:space="0" w:color="000000"/>
            </w:tcBorders>
            <w:shd w:fill="FFFFFF" w:val="clear"/>
          </w:tcPr>
          <w:p>
            <w:pPr>
              <w:pStyle w:val="TableContents"/>
              <w:spacing w:lineRule="auto" w:line="276"/>
              <w:jc w:val="center"/>
              <w:rPr>
                <w:rFonts w:ascii="Cambria" w:hAnsi="Cambria" w:cs="Calibri"/>
                <w:b/>
                <w:bCs/>
                <w:sz w:val="22"/>
                <w:szCs w:val="22"/>
              </w:rPr>
            </w:pPr>
            <w:r>
              <w:rPr>
                <w:rFonts w:cs="Calibri" w:ascii="Cambria" w:hAnsi="Cambria"/>
                <w:b/>
                <w:bCs/>
                <w:sz w:val="22"/>
                <w:szCs w:val="22"/>
              </w:rPr>
              <w:t>21</w:t>
            </w:r>
          </w:p>
        </w:tc>
      </w:tr>
      <w:tr>
        <w:trPr/>
        <w:tc>
          <w:tcPr>
            <w:tcW w:w="4827" w:type="dxa"/>
            <w:tcBorders>
              <w:start w:val="single" w:sz="2" w:space="0" w:color="000000"/>
              <w:bottom w:val="single" w:sz="2" w:space="0" w:color="000000"/>
            </w:tcBorders>
            <w:shd w:fill="FFFFFF" w:val="clear"/>
          </w:tcPr>
          <w:p>
            <w:pPr>
              <w:pStyle w:val="TableContents"/>
              <w:spacing w:lineRule="auto" w:line="276"/>
              <w:rPr>
                <w:rFonts w:ascii="Cambria" w:hAnsi="Cambria" w:cs="Calibri"/>
                <w:b/>
                <w:bCs/>
                <w:sz w:val="22"/>
                <w:szCs w:val="22"/>
              </w:rPr>
            </w:pPr>
            <w:r>
              <w:rPr>
                <w:rFonts w:cs="Calibri" w:ascii="Cambria" w:hAnsi="Cambria"/>
                <w:b/>
                <w:bCs/>
                <w:sz w:val="22"/>
                <w:szCs w:val="22"/>
              </w:rPr>
              <w:t>Liczba pouczeń wydanych przy zabezpieczeniu dzieci w placówkach zastępczych</w:t>
            </w:r>
          </w:p>
        </w:tc>
        <w:tc>
          <w:tcPr>
            <w:tcW w:w="4818" w:type="dxa"/>
            <w:tcBorders>
              <w:start w:val="single" w:sz="2" w:space="0" w:color="000000"/>
              <w:bottom w:val="single" w:sz="2" w:space="0" w:color="000000"/>
              <w:end w:val="single" w:sz="2" w:space="0" w:color="000000"/>
            </w:tcBorders>
            <w:shd w:fill="FFFFFF" w:val="clear"/>
          </w:tcPr>
          <w:p>
            <w:pPr>
              <w:pStyle w:val="TableContents"/>
              <w:spacing w:lineRule="auto" w:line="276"/>
              <w:jc w:val="center"/>
              <w:rPr>
                <w:rFonts w:ascii="Cambria" w:hAnsi="Cambria" w:cs="Calibri"/>
                <w:b/>
                <w:bCs/>
                <w:sz w:val="22"/>
                <w:szCs w:val="22"/>
              </w:rPr>
            </w:pPr>
            <w:r>
              <w:rPr>
                <w:rFonts w:cs="Calibri" w:ascii="Cambria" w:hAnsi="Cambria"/>
                <w:b/>
                <w:bCs/>
                <w:sz w:val="22"/>
                <w:szCs w:val="22"/>
              </w:rPr>
              <w:t>8 pouczeń</w:t>
            </w:r>
          </w:p>
          <w:p>
            <w:pPr>
              <w:pStyle w:val="TableContents"/>
              <w:numPr>
                <w:ilvl w:val="0"/>
                <w:numId w:val="2"/>
              </w:numPr>
              <w:spacing w:lineRule="auto" w:line="276"/>
              <w:jc w:val="center"/>
              <w:rPr>
                <w:rFonts w:ascii="Cambria" w:hAnsi="Cambria" w:cs="Calibri"/>
                <w:b/>
                <w:bCs/>
                <w:sz w:val="22"/>
                <w:szCs w:val="22"/>
              </w:rPr>
            </w:pPr>
            <w:r>
              <w:rPr>
                <w:rFonts w:cs="Calibri" w:ascii="Cambria" w:hAnsi="Cambria"/>
                <w:b/>
                <w:bCs/>
                <w:sz w:val="22"/>
                <w:szCs w:val="22"/>
              </w:rPr>
              <w:t>zabezpieczono z 7 rodzin – 9 dzieci (MOPS)</w:t>
            </w:r>
          </w:p>
        </w:tc>
      </w:tr>
      <w:tr>
        <w:trPr/>
        <w:tc>
          <w:tcPr>
            <w:tcW w:w="4827" w:type="dxa"/>
            <w:tcBorders>
              <w:start w:val="single" w:sz="2" w:space="0" w:color="000000"/>
              <w:bottom w:val="single" w:sz="2" w:space="0" w:color="000000"/>
            </w:tcBorders>
            <w:shd w:fill="FFFFFF" w:val="clear"/>
          </w:tcPr>
          <w:p>
            <w:pPr>
              <w:pStyle w:val="TableContents"/>
              <w:spacing w:lineRule="auto" w:line="276"/>
              <w:rPr>
                <w:rFonts w:ascii="Cambria" w:hAnsi="Cambria" w:cs="Calibri"/>
                <w:b/>
                <w:bCs/>
                <w:sz w:val="22"/>
                <w:szCs w:val="22"/>
              </w:rPr>
            </w:pPr>
            <w:r>
              <w:rPr>
                <w:rFonts w:cs="Calibri" w:ascii="Cambria" w:hAnsi="Cambria"/>
                <w:b/>
                <w:bCs/>
                <w:sz w:val="22"/>
                <w:szCs w:val="22"/>
              </w:rPr>
              <w:t>Liczba przeprowadzonych mediacji</w:t>
            </w:r>
          </w:p>
        </w:tc>
        <w:tc>
          <w:tcPr>
            <w:tcW w:w="4818" w:type="dxa"/>
            <w:tcBorders>
              <w:start w:val="single" w:sz="2" w:space="0" w:color="000000"/>
              <w:bottom w:val="single" w:sz="2" w:space="0" w:color="000000"/>
              <w:end w:val="single" w:sz="2" w:space="0" w:color="000000"/>
            </w:tcBorders>
            <w:shd w:fill="FFFFFF" w:val="clear"/>
          </w:tcPr>
          <w:p>
            <w:pPr>
              <w:pStyle w:val="TableContents"/>
              <w:spacing w:lineRule="auto" w:line="276"/>
              <w:jc w:val="center"/>
              <w:rPr>
                <w:rFonts w:ascii="Cambria" w:hAnsi="Cambria" w:cs="Calibri"/>
                <w:b/>
                <w:bCs/>
                <w:sz w:val="22"/>
                <w:szCs w:val="22"/>
              </w:rPr>
            </w:pPr>
            <w:r>
              <w:rPr>
                <w:rFonts w:cs="Calibri" w:ascii="Cambria" w:hAnsi="Cambria"/>
                <w:b/>
                <w:bCs/>
                <w:sz w:val="22"/>
                <w:szCs w:val="22"/>
              </w:rPr>
              <w:t>0</w:t>
            </w:r>
          </w:p>
        </w:tc>
      </w:tr>
      <w:tr>
        <w:trPr/>
        <w:tc>
          <w:tcPr>
            <w:tcW w:w="4827" w:type="dxa"/>
            <w:tcBorders>
              <w:start w:val="single" w:sz="2" w:space="0" w:color="000000"/>
              <w:bottom w:val="single" w:sz="2" w:space="0" w:color="000000"/>
            </w:tcBorders>
            <w:shd w:fill="FFFFFF" w:val="clear"/>
          </w:tcPr>
          <w:p>
            <w:pPr>
              <w:pStyle w:val="TableContents"/>
              <w:spacing w:lineRule="auto" w:line="276"/>
              <w:rPr>
                <w:rFonts w:ascii="Cambria" w:hAnsi="Cambria" w:cs="Calibri"/>
                <w:b/>
                <w:bCs/>
                <w:sz w:val="22"/>
                <w:szCs w:val="22"/>
              </w:rPr>
            </w:pPr>
            <w:r>
              <w:rPr>
                <w:rFonts w:cs="Calibri" w:ascii="Cambria" w:hAnsi="Cambria"/>
                <w:b/>
                <w:bCs/>
                <w:sz w:val="22"/>
                <w:szCs w:val="22"/>
              </w:rPr>
              <w:t>Liczba pism i wniosków do Sądu, Prokuratury,  Policji,  Miejskiej Komisji Rozwiązywania Problemów Alkoholowych</w:t>
            </w:r>
          </w:p>
        </w:tc>
        <w:tc>
          <w:tcPr>
            <w:tcW w:w="4818" w:type="dxa"/>
            <w:tcBorders>
              <w:start w:val="single" w:sz="2" w:space="0" w:color="000000"/>
              <w:bottom w:val="single" w:sz="2" w:space="0" w:color="000000"/>
              <w:end w:val="single" w:sz="2" w:space="0" w:color="000000"/>
            </w:tcBorders>
            <w:shd w:fill="FFFFFF" w:val="clear"/>
          </w:tcPr>
          <w:p>
            <w:pPr>
              <w:pStyle w:val="TableContents"/>
              <w:spacing w:lineRule="auto" w:line="276"/>
              <w:jc w:val="center"/>
              <w:rPr>
                <w:rFonts w:ascii="Cambria" w:hAnsi="Cambria" w:cs="Calibri"/>
                <w:b/>
                <w:bCs/>
                <w:sz w:val="22"/>
                <w:szCs w:val="22"/>
              </w:rPr>
            </w:pPr>
            <w:r>
              <w:rPr>
                <w:rFonts w:cs="Calibri" w:ascii="Cambria" w:hAnsi="Cambria"/>
                <w:b/>
                <w:bCs/>
                <w:sz w:val="22"/>
                <w:szCs w:val="22"/>
              </w:rPr>
              <w:t>1019</w:t>
            </w:r>
          </w:p>
        </w:tc>
      </w:tr>
      <w:tr>
        <w:trPr/>
        <w:tc>
          <w:tcPr>
            <w:tcW w:w="9645" w:type="dxa"/>
            <w:gridSpan w:val="2"/>
            <w:tcBorders>
              <w:start w:val="single" w:sz="2" w:space="0" w:color="000000"/>
              <w:bottom w:val="single" w:sz="2" w:space="0" w:color="000000"/>
              <w:end w:val="single" w:sz="2" w:space="0" w:color="000000"/>
            </w:tcBorders>
            <w:shd w:fill="FFFFFF" w:val="clear"/>
          </w:tcPr>
          <w:p>
            <w:pPr>
              <w:pStyle w:val="TableContents"/>
              <w:spacing w:lineRule="auto" w:line="276"/>
              <w:rPr>
                <w:rFonts w:ascii="Cambria" w:hAnsi="Cambria" w:cs="Calibri"/>
                <w:b/>
                <w:bCs/>
                <w:sz w:val="22"/>
                <w:szCs w:val="22"/>
              </w:rPr>
            </w:pPr>
            <w:r>
              <w:rPr>
                <w:rFonts w:cs="Calibri" w:ascii="Cambria" w:hAnsi="Cambria"/>
                <w:b/>
                <w:bCs/>
                <w:sz w:val="22"/>
                <w:szCs w:val="22"/>
              </w:rPr>
            </w:r>
          </w:p>
          <w:p>
            <w:pPr>
              <w:pStyle w:val="TableContents"/>
              <w:spacing w:lineRule="auto" w:line="276"/>
              <w:rPr>
                <w:rFonts w:ascii="Cambria" w:hAnsi="Cambria" w:cs="Calibri"/>
                <w:b/>
                <w:bCs/>
                <w:sz w:val="22"/>
                <w:szCs w:val="22"/>
              </w:rPr>
            </w:pPr>
            <w:r>
              <w:rPr>
                <w:rFonts w:cs="Calibri" w:ascii="Cambria" w:hAnsi="Cambria"/>
                <w:b/>
                <w:bCs/>
                <w:sz w:val="22"/>
                <w:szCs w:val="22"/>
              </w:rPr>
              <w:t>Podmiot odpowiedzialny za realizację zadania:</w:t>
            </w:r>
          </w:p>
          <w:p>
            <w:pPr>
              <w:pStyle w:val="TableContents"/>
              <w:tabs>
                <w:tab w:val="clear" w:pos="709"/>
              </w:tabs>
              <w:spacing w:lineRule="auto" w:line="276"/>
              <w:ind w:start="720"/>
              <w:rPr>
                <w:rFonts w:ascii="Cambria" w:hAnsi="Cambria" w:cs="Calibri"/>
                <w:b/>
                <w:bCs/>
                <w:sz w:val="22"/>
                <w:szCs w:val="22"/>
              </w:rPr>
            </w:pPr>
            <w:r>
              <w:rPr>
                <w:rFonts w:cs="Calibri" w:ascii="Cambria" w:hAnsi="Cambria"/>
                <w:b/>
                <w:bCs/>
                <w:sz w:val="22"/>
                <w:szCs w:val="22"/>
              </w:rPr>
            </w:r>
          </w:p>
          <w:p>
            <w:pPr>
              <w:pStyle w:val="TableContents"/>
              <w:tabs>
                <w:tab w:val="clear" w:pos="709"/>
              </w:tabs>
              <w:spacing w:lineRule="auto" w:line="276"/>
              <w:ind w:start="720"/>
              <w:rPr>
                <w:rFonts w:ascii="Cambria" w:hAnsi="Cambria" w:cs="Calibri"/>
                <w:sz w:val="22"/>
                <w:szCs w:val="22"/>
              </w:rPr>
            </w:pPr>
            <w:r>
              <w:rPr>
                <w:rFonts w:cs="Calibri" w:ascii="Cambria" w:hAnsi="Cambria"/>
                <w:sz w:val="22"/>
                <w:szCs w:val="22"/>
              </w:rPr>
              <w:t>- Miejski Ośrodek Pomocy Społecznej/ Zespół Interdyscyplinarny;</w:t>
            </w:r>
          </w:p>
          <w:p>
            <w:pPr>
              <w:pStyle w:val="TableContents"/>
              <w:tabs>
                <w:tab w:val="clear" w:pos="709"/>
              </w:tabs>
              <w:spacing w:lineRule="auto" w:line="276"/>
              <w:ind w:start="720"/>
              <w:rPr>
                <w:rFonts w:ascii="Cambria" w:hAnsi="Cambria" w:cs="Calibri"/>
                <w:sz w:val="22"/>
                <w:szCs w:val="22"/>
              </w:rPr>
            </w:pPr>
            <w:r>
              <w:rPr>
                <w:rFonts w:cs="Calibri" w:ascii="Cambria" w:hAnsi="Cambria"/>
                <w:sz w:val="22"/>
                <w:szCs w:val="22"/>
              </w:rPr>
              <w:t>- Urząd Miasta Wydział Spraw Społecznych i Rodziny;</w:t>
            </w:r>
          </w:p>
          <w:p>
            <w:pPr>
              <w:pStyle w:val="TableContents"/>
              <w:tabs>
                <w:tab w:val="clear" w:pos="709"/>
              </w:tabs>
              <w:spacing w:lineRule="auto" w:line="276"/>
              <w:ind w:start="720"/>
              <w:rPr>
                <w:rFonts w:ascii="Cambria" w:hAnsi="Cambria" w:cs="Calibri"/>
                <w:sz w:val="22"/>
                <w:szCs w:val="22"/>
              </w:rPr>
            </w:pPr>
            <w:r>
              <w:rPr>
                <w:rFonts w:cs="Calibri" w:ascii="Cambria" w:hAnsi="Cambria"/>
                <w:sz w:val="22"/>
                <w:szCs w:val="22"/>
              </w:rPr>
              <w:t>- Komenda Powiatowa Policji;</w:t>
            </w:r>
          </w:p>
          <w:p>
            <w:pPr>
              <w:pStyle w:val="TableContents"/>
              <w:tabs>
                <w:tab w:val="clear" w:pos="709"/>
              </w:tabs>
              <w:spacing w:lineRule="auto" w:line="276"/>
              <w:ind w:start="720"/>
              <w:rPr>
                <w:rFonts w:ascii="Cambria" w:hAnsi="Cambria" w:cs="Calibri"/>
                <w:sz w:val="22"/>
                <w:szCs w:val="22"/>
              </w:rPr>
            </w:pPr>
            <w:r>
              <w:rPr>
                <w:rFonts w:cs="Calibri" w:ascii="Cambria" w:hAnsi="Cambria"/>
                <w:sz w:val="22"/>
                <w:szCs w:val="22"/>
              </w:rPr>
              <w:t>- Miejska Komisja Rozwiązywania Problemów Alkoholowych;</w:t>
            </w:r>
          </w:p>
          <w:p>
            <w:pPr>
              <w:pStyle w:val="TableContents"/>
              <w:tabs>
                <w:tab w:val="clear" w:pos="709"/>
              </w:tabs>
              <w:spacing w:lineRule="auto" w:line="276"/>
              <w:ind w:start="720"/>
              <w:rPr>
                <w:rFonts w:ascii="Cambria" w:hAnsi="Cambria" w:cs="Calibri"/>
                <w:sz w:val="22"/>
                <w:szCs w:val="22"/>
              </w:rPr>
            </w:pPr>
            <w:r>
              <w:rPr>
                <w:rFonts w:cs="Calibri" w:ascii="Cambria" w:hAnsi="Cambria"/>
                <w:sz w:val="22"/>
                <w:szCs w:val="22"/>
              </w:rPr>
              <w:t>- Organizacje Pozarządowe,  Stowarzyszenia, Fundacje;</w:t>
            </w:r>
          </w:p>
          <w:p>
            <w:pPr>
              <w:pStyle w:val="TableContents"/>
              <w:tabs>
                <w:tab w:val="clear" w:pos="709"/>
              </w:tabs>
              <w:spacing w:lineRule="auto" w:line="276"/>
              <w:ind w:start="720"/>
              <w:rPr>
                <w:rFonts w:ascii="Cambria" w:hAnsi="Cambria" w:cs="Calibri"/>
                <w:sz w:val="22"/>
                <w:szCs w:val="22"/>
              </w:rPr>
            </w:pPr>
            <w:r>
              <w:rPr>
                <w:rFonts w:cs="Calibri" w:ascii="Cambria" w:hAnsi="Cambria"/>
                <w:sz w:val="22"/>
                <w:szCs w:val="22"/>
              </w:rPr>
              <w:t>- Ośrodek Interwencji Kryzysowej.</w:t>
            </w:r>
          </w:p>
          <w:p>
            <w:pPr>
              <w:pStyle w:val="TableContents"/>
              <w:tabs>
                <w:tab w:val="clear" w:pos="709"/>
              </w:tabs>
              <w:spacing w:lineRule="auto" w:line="276"/>
              <w:ind w:start="720"/>
              <w:rPr>
                <w:rFonts w:ascii="Cambria" w:hAnsi="Cambria" w:cs="Calibri"/>
                <w:b/>
                <w:bCs/>
                <w:sz w:val="22"/>
                <w:szCs w:val="22"/>
              </w:rPr>
            </w:pPr>
            <w:r>
              <w:rPr>
                <w:rFonts w:cs="Calibri" w:ascii="Cambria" w:hAnsi="Cambria"/>
                <w:b/>
                <w:bCs/>
                <w:sz w:val="22"/>
                <w:szCs w:val="22"/>
              </w:rPr>
            </w:r>
          </w:p>
        </w:tc>
      </w:tr>
    </w:tbl>
    <w:p>
      <w:pPr>
        <w:pStyle w:val="Normal"/>
        <w:rPr/>
      </w:pPr>
      <w:r>
        <w:rPr/>
      </w:r>
    </w:p>
    <w:p>
      <w:pPr>
        <w:pStyle w:val="Normal"/>
        <w:rPr/>
      </w:pPr>
      <w:r>
        <w:rPr/>
      </w:r>
    </w:p>
    <w:p>
      <w:pPr>
        <w:pStyle w:val="Default"/>
        <w:spacing w:lineRule="auto" w:line="276"/>
        <w:rPr>
          <w:rFonts w:ascii="Calibri" w:hAnsi="Calibri" w:cs="Calibri"/>
          <w:b/>
          <w:bCs/>
          <w:i/>
          <w:iCs/>
          <w:lang w:val="pl-PL"/>
        </w:rPr>
      </w:pPr>
      <w:r>
        <w:rPr>
          <w:rFonts w:cs="Calibri" w:ascii="Calibri" w:hAnsi="Calibri"/>
          <w:b/>
          <w:bCs/>
          <w:i/>
          <w:iCs/>
          <w:lang w:val="pl-PL"/>
        </w:rPr>
      </w:r>
    </w:p>
    <w:p>
      <w:pPr>
        <w:pStyle w:val="Default"/>
        <w:spacing w:lineRule="auto" w:line="360"/>
        <w:rPr>
          <w:rFonts w:ascii="Calibri" w:hAnsi="Calibri" w:cs="Calibri"/>
          <w:b/>
          <w:bCs/>
          <w:i/>
          <w:iCs/>
          <w:lang w:val="pl-PL"/>
        </w:rPr>
      </w:pPr>
      <w:r>
        <w:rPr>
          <w:rFonts w:cs="Calibri" w:ascii="Calibri" w:hAnsi="Calibri"/>
          <w:b/>
          <w:bCs/>
          <w:i/>
          <w:iCs/>
          <w:lang w:val="pl-PL"/>
        </w:rPr>
      </w:r>
    </w:p>
    <w:p>
      <w:pPr>
        <w:pStyle w:val="Normal"/>
        <w:tabs>
          <w:tab w:val="clear" w:pos="709"/>
        </w:tabs>
        <w:spacing w:lineRule="auto" w:line="360"/>
        <w:ind w:hanging="340" w:start="57"/>
        <w:jc w:val="both"/>
        <w:rPr/>
      </w:pPr>
      <w:r>
        <w:rPr>
          <w:rStyle w:val="Domylnaczcionkaakapitu"/>
          <w:rFonts w:eastAsia="Calibri" w:cs="Calibri" w:ascii="Calibri" w:hAnsi="Calibri"/>
          <w:color w:val="000000"/>
        </w:rPr>
        <w:tab/>
        <w:t xml:space="preserve"> </w:t>
      </w:r>
      <w:r>
        <w:rPr>
          <w:rStyle w:val="Domylnaczcionkaakapitu"/>
          <w:rFonts w:eastAsia="Times New Roman" w:cs="Calibri" w:ascii="Calibri" w:hAnsi="Calibri"/>
          <w:color w:val="000000"/>
        </w:rPr>
        <w:tab/>
        <w:t xml:space="preserve">Analiza danych z rejestru wpływu Niebieskich Kart oraz sprawozdań Zespołu                                        Interdyscyplinarnego wskazuje aktualnie rosnącą liczbę prowadzonych Niebieskich Kart. Od 2024 r. rozpoczął się okres wzrostowy, w roku tym wszczęto 116 Niebieskich Kart, kontynuowano z lat poprzednich 19 Niebieskich Kart co dało łącznie 135 procedur. W 2025r. założono przez cały rok kalendarzowy od stycznia do grudnia aż 190 procedur i kontynuowano z poprzednich lat tj. 2023 </w:t>
        <w:br/>
        <w:t>i 2024 r. - 88 kart co daje łącznie 278 Niebieskich Kart .</w:t>
      </w:r>
    </w:p>
    <w:p>
      <w:pPr>
        <w:pStyle w:val="Normal"/>
        <w:tabs>
          <w:tab w:val="clear" w:pos="709"/>
        </w:tabs>
        <w:spacing w:lineRule="auto" w:line="360"/>
        <w:ind w:hanging="340" w:start="57"/>
        <w:jc w:val="both"/>
        <w:rPr>
          <w:rFonts w:ascii="Calibri" w:hAnsi="Calibri" w:eastAsia="Times New Roman" w:cs="Calibri"/>
          <w:color w:val="000000"/>
        </w:rPr>
      </w:pPr>
      <w:r>
        <w:rPr>
          <w:rFonts w:eastAsia="Times New Roman" w:cs="Calibri" w:ascii="Calibri" w:hAnsi="Calibri"/>
          <w:color w:val="000000"/>
        </w:rPr>
        <w:t xml:space="preserve">      </w:t>
      </w:r>
      <w:r>
        <w:rPr>
          <w:rFonts w:eastAsia="Times New Roman" w:cs="Calibri" w:ascii="Calibri" w:hAnsi="Calibri"/>
          <w:color w:val="000000"/>
        </w:rPr>
        <w:t>Wsparciem i opieką Zespołu Interdyscyplinarnego objęto 278 rodzin z kart bieżących oraz kontynuowanych ( w przybliżeniu 800 osób w tych rodzinach).</w:t>
      </w:r>
    </w:p>
    <w:p>
      <w:pPr>
        <w:pStyle w:val="Normal"/>
        <w:tabs>
          <w:tab w:val="clear" w:pos="709"/>
        </w:tabs>
        <w:spacing w:lineRule="auto" w:line="360"/>
        <w:ind w:hanging="340" w:start="57"/>
        <w:jc w:val="both"/>
        <w:rPr/>
      </w:pPr>
      <w:r>
        <w:rPr>
          <w:rStyle w:val="Domylnaczcionkaakapitu"/>
          <w:rFonts w:eastAsia="Times New Roman" w:cs="Calibri" w:ascii="Calibri" w:hAnsi="Calibri"/>
          <w:color w:val="000000"/>
        </w:rPr>
        <w:t xml:space="preserve">      </w:t>
      </w:r>
      <w:r>
        <w:rPr>
          <w:rStyle w:val="Domylnaczcionkaakapitu"/>
          <w:rFonts w:eastAsia="Times New Roman" w:cs="Calibri" w:ascii="Calibri" w:hAnsi="Calibri"/>
          <w:color w:val="000000"/>
        </w:rPr>
        <w:t>Ponad 50%  Niebieskich Kart zamykanych jest w roku wszczęcia procedury  lub w ciągu następnego roku kalendarzowego tj.: w 2024 r. zakończono 51 Niebieskich Kart. W 2025r. zakończono 185 procedur,</w:t>
      </w:r>
      <w:r>
        <w:rPr>
          <w:rStyle w:val="Domylnaczcionkaakapitu"/>
          <w:rFonts w:eastAsia="Times New Roman" w:cs="Calibri" w:ascii="Calibri" w:hAnsi="Calibri"/>
          <w:b/>
          <w:bCs/>
          <w:color w:val="000000"/>
        </w:rPr>
        <w:t xml:space="preserve"> </w:t>
      </w:r>
      <w:r>
        <w:rPr>
          <w:rStyle w:val="Domylnaczcionkaakapitu"/>
          <w:rFonts w:eastAsia="Times New Roman" w:cs="Calibri" w:ascii="Calibri" w:hAnsi="Calibri"/>
          <w:color w:val="000000"/>
        </w:rPr>
        <w:t>w tym 101 założonych i prowadzonych w roku sprawozdawczym</w:t>
      </w:r>
      <w:r>
        <w:rPr>
          <w:rStyle w:val="Domylnaczcionkaakapitu"/>
          <w:rFonts w:eastAsia="Times New Roman" w:cs="Calibri" w:ascii="Calibri" w:hAnsi="Calibri"/>
          <w:b/>
          <w:bCs/>
          <w:color w:val="000000"/>
        </w:rPr>
        <w:t>.</w:t>
      </w:r>
      <w:r>
        <w:rPr>
          <w:rStyle w:val="Domylnaczcionkaakapitu"/>
          <w:rFonts w:eastAsia="Times New Roman" w:cs="Calibri" w:ascii="Calibri" w:hAnsi="Calibri"/>
          <w:color w:val="000000"/>
        </w:rPr>
        <w:t xml:space="preserve"> Zgodnie z nowymi przepisami w ramach monitoringu po zakończeniu procedury Niebieskiej Karty pracownicy odbywali wizyty kontrolne, utrzymywali kontakt z rodzinami w tym za pomocą środków komunikacji elektronicznej oraz odbywali spotkania grup diagnostyczno-pomocowych w 179 rodzinach.</w:t>
      </w:r>
    </w:p>
    <w:p>
      <w:pPr>
        <w:pStyle w:val="Normal"/>
        <w:tabs>
          <w:tab w:val="clear" w:pos="709"/>
        </w:tabs>
        <w:spacing w:lineRule="auto" w:line="360"/>
        <w:ind w:hanging="340" w:start="57"/>
        <w:jc w:val="both"/>
        <w:rPr/>
      </w:pPr>
      <w:r>
        <w:rPr>
          <w:rStyle w:val="Domylnaczcionkaakapitu"/>
          <w:rFonts w:eastAsia="Times New Roman" w:cs="Calibri" w:ascii="Calibri" w:hAnsi="Calibri"/>
          <w:color w:val="000000"/>
        </w:rPr>
        <w:t xml:space="preserve">      </w:t>
      </w:r>
      <w:r>
        <w:rPr>
          <w:rStyle w:val="Domylnaczcionkaakapitu"/>
          <w:rFonts w:eastAsia="Times New Roman" w:cs="Calibri" w:ascii="Calibri" w:hAnsi="Calibri"/>
          <w:color w:val="000000"/>
        </w:rPr>
        <w:t xml:space="preserve">Czas trwania procedury zależy od indywidualnego przypadku, przeciętnie jest to od 3 do 6 miesięcy, zdarzają się również sytuacje, w których rodzina objęta jest  pomocą nawet 2 lata. Założone w 2025r. Niebieskie Karty w większości przypadków były uzasadnione i wymagały intensywnego zaangażowania oraz szeregu działań ze strony służb w celu przeciwdziałania przemocy. Jednocześnie z procedurą toczyły się postępowania karne, dochodzenia w sprawie o znęcanie oraz sprawy sądowe z udziałem policji i pracowników socjalnych, postępowania o zmianę zarządzeń opiekuńczych, sprawy rozwodowe. Monitorowane rodziny objęte były pracą socjalną oraz materialną, pomocą psychologa i prawnika w instytucjach współpracujących przy realizacji programu. Podczas interwencji domowych stosowano zarówno policyjne jak i prokuratorskie środki zapobiegawcze </w:t>
        <w:br/>
        <w:t xml:space="preserve">w tym: nakazy opuszczenia wspólnie zajmowanego lokalu, zakazy zbliżania i dozory policyjne. </w:t>
        <w:br/>
        <w:t>W kilku przypadkach konieczne było zastosowanie kary pozbawienia wolności.</w:t>
      </w:r>
    </w:p>
    <w:p>
      <w:pPr>
        <w:pStyle w:val="Normal"/>
        <w:tabs>
          <w:tab w:val="clear" w:pos="709"/>
        </w:tabs>
        <w:spacing w:lineRule="auto" w:line="360"/>
        <w:ind w:hanging="340" w:start="57"/>
        <w:jc w:val="both"/>
        <w:rPr/>
      </w:pPr>
      <w:r>
        <w:rPr>
          <w:rStyle w:val="Domylnaczcionkaakapitu"/>
          <w:rFonts w:eastAsia="Times New Roman" w:cs="Calibri" w:ascii="Calibri" w:hAnsi="Calibri"/>
          <w:color w:val="000000"/>
        </w:rPr>
        <w:t xml:space="preserve">    </w:t>
      </w:r>
      <w:r>
        <w:rPr>
          <w:rStyle w:val="Domylnaczcionkaakapitu"/>
          <w:rFonts w:cs="Calibri" w:ascii="Calibri" w:hAnsi="Calibri"/>
        </w:rPr>
        <w:t xml:space="preserve">  </w:t>
      </w:r>
      <w:r>
        <w:rPr>
          <w:rStyle w:val="Domylnaczcionkaakapitu"/>
          <w:rFonts w:cs="Calibri" w:ascii="Calibri" w:hAnsi="Calibri"/>
        </w:rPr>
        <w:t xml:space="preserve">Podobnie jak w całej Polsce najwięcej Niebieskich Kart zakładają funkcjonariusze Komendy          Powiatowej Policji w czasie interwencji domowej lub podczas przyjmowania zawiadomienia </w:t>
        <w:br/>
        <w:t>o przestępstwo z art. 207  KK. Policjanci założyli  w 2025 r. aż 177 Niebieskich Kart. Pracownicy socjalni w czasie interwencji lub  po zgłoszeniu przemocy i zbadaniu sytuacji rodziny wszczęli kolejno, w tym samym roku 9 Niebieskich Kart. Pracownicy socjalni bardzo często kierują osoby doznające przemocy na policję (Komenda Powiatowa Policji) w celu złożenia zawiadomienia lub podjęcia szybkiej, bezzwłocznej interwencji w środowisku, lub udzielają informacji w celu podjęcia skutecznej interwencji wobec osoby stosującej przemoc.</w:t>
      </w:r>
    </w:p>
    <w:p>
      <w:pPr>
        <w:pStyle w:val="Normal"/>
        <w:tabs>
          <w:tab w:val="clear" w:pos="709"/>
        </w:tabs>
        <w:spacing w:lineRule="auto" w:line="360"/>
        <w:ind w:hanging="57" w:start="57"/>
        <w:jc w:val="both"/>
        <w:rPr/>
      </w:pPr>
      <w:r>
        <w:rPr>
          <w:rStyle w:val="Domylnaczcionkaakapitu"/>
          <w:rFonts w:cs="Calibri" w:ascii="Calibri" w:hAnsi="Calibri"/>
        </w:rPr>
        <w:t>Zaznaczyć należy, że przedstawiciele innych podmiotów służb społecznych na przestrzeni lat wszczynają stosunkowo niewiele procedur Niebieskich Kart. Sytuacja taka utrzymuje się stale od wielu lat. W 2025 roku wpłynęła 1 Niebieska Karta założona przez przedstawicieli służby zdrowia oraz 1 Niebieska Karta założona przez  Żandarmerię Wojskową. Przedstawiciele Oświaty wszczęli             2 Niebieskie Karty wobec małoletnich (1x szkoła podstawowa, 1x szkoła ponadpodstawowa).</w:t>
      </w:r>
    </w:p>
    <w:p>
      <w:pPr>
        <w:pStyle w:val="Default"/>
        <w:tabs>
          <w:tab w:val="clear" w:pos="709"/>
        </w:tabs>
        <w:spacing w:lineRule="auto" w:line="360"/>
        <w:ind w:start="57"/>
        <w:jc w:val="both"/>
        <w:rPr/>
      </w:pPr>
      <w:r>
        <w:rPr>
          <w:rStyle w:val="Domylnaczcionkaakapitu"/>
          <w:rFonts w:eastAsia="Calibri" w:cs="Calibri" w:ascii="Calibri" w:hAnsi="Calibri"/>
          <w:lang w:val="pl-PL"/>
        </w:rPr>
        <w:t xml:space="preserve"> </w:t>
      </w:r>
      <w:r>
        <w:rPr>
          <w:rStyle w:val="Domylnaczcionkaakapitu"/>
          <w:rFonts w:cs="Calibri" w:ascii="Calibri" w:hAnsi="Calibri"/>
          <w:lang w:val="pl-PL"/>
        </w:rPr>
        <w:tab/>
        <w:t>Z danych zebranych w ramach Zespołu Interdyscyplinarnego wynika, że na terenie Tomaszowa Mazowieckiego prowadzono procedury Niebieskiej Karty w rodzinach wskazując najczęściej jako osoby dotknięte przemocą kobiety. Między osobami doznającymi przemocy                    a  stosującymi przemoc zachodzi korelacja dotycząca płci wskazująca, ze ofiarami przeważnie są kobiety a sprawcami mężczyźni. W 2025 r. 174 kobiety wskazano jako osoby doznające przemocy domowej.</w:t>
      </w:r>
    </w:p>
    <w:p>
      <w:pPr>
        <w:pStyle w:val="Default"/>
        <w:tabs>
          <w:tab w:val="clear" w:pos="709"/>
        </w:tabs>
        <w:spacing w:lineRule="auto" w:line="360"/>
        <w:ind w:start="57"/>
        <w:jc w:val="both"/>
        <w:rPr/>
      </w:pPr>
      <w:r>
        <w:rPr>
          <w:rStyle w:val="Domylnaczcionkaakapitu"/>
          <w:rFonts w:cs="Calibri" w:ascii="Calibri" w:hAnsi="Calibri"/>
          <w:lang w:val="pl-PL"/>
        </w:rPr>
        <w:t>W tym samym roku wskazano 28 mężczyzn dotkniętych przemocą. Pomocą zespołu interdyscyplinarnego obejmowane są dzieci wskazane jako ofiary przemocy oraz dzieci w rodzinie objętej procedurą Niebieskiej Karty.</w:t>
      </w:r>
    </w:p>
    <w:p>
      <w:pPr>
        <w:pStyle w:val="Default"/>
        <w:tabs>
          <w:tab w:val="clear" w:pos="709"/>
        </w:tabs>
        <w:spacing w:lineRule="auto" w:line="360"/>
        <w:ind w:start="57"/>
        <w:jc w:val="both"/>
        <w:rPr>
          <w:rFonts w:ascii="Calibri" w:hAnsi="Calibri" w:cs="Calibri"/>
          <w:lang w:val="pl-PL"/>
        </w:rPr>
      </w:pPr>
      <w:r>
        <w:rPr>
          <w:rFonts w:cs="Calibri" w:ascii="Calibri" w:hAnsi="Calibri"/>
          <w:lang w:val="pl-PL"/>
        </w:rPr>
        <w:tab/>
        <w:t xml:space="preserve"> Istotnym czynnikiem odnośnie przemocy okazuje się również zależność pomiędzy stopniem pokrewieństwa a występowaniem przemocy w rodzinie. Najczęściej zgłaszane lub ujawniane są przypadki przemocy parterów wobec siebie w związkach małżeńskich i konkubinatach, akty przemocy dorosłych dzieci wobec rodziców i rodziców wobec dzieci. Rzadziej ujawniane są sytuacje znęcania między rodzeństwem lub wnukami nad  dziadkami. Ta ostatnia sytuacja wynikać może z niechęci osób starszych do angażowania służb w sprawy rodzinne, samodzielnego zgłaszania aktów przemocy lub strach przed odrzuceniem przez członków rodziny i pozostawanie bez pomocy usługowej z ich strony.</w:t>
      </w:r>
    </w:p>
    <w:p>
      <w:pPr>
        <w:pStyle w:val="Normal"/>
        <w:spacing w:lineRule="auto" w:line="360"/>
        <w:jc w:val="both"/>
        <w:rPr>
          <w:rFonts w:ascii="Calibri" w:hAnsi="Calibri" w:cs="Calibri"/>
        </w:rPr>
      </w:pPr>
      <w:r>
        <w:rPr>
          <w:rFonts w:cs="Calibri" w:ascii="Calibri" w:hAnsi="Calibri"/>
        </w:rPr>
        <w:tab/>
        <w:t xml:space="preserve">W świetle nowych przepisów, zmian dotyczących pracy w ramach procedury Niebieskiej Karty Zespół Interdyscyplinarny poszerza swój zakres działań współpracując z Zespołami w całej Polsce przekazując lub uzyskując informacje o przypadkach stosowania przemocy w innych miastach </w:t>
        <w:br/>
        <w:t>i gminach. Zespoły przekazują Niebieskie Karty zgodnie z właściwością miejscową i utrzymują kontakt oraz informują się o toczącym postępowaniu aż do zakończenia procedury NK.</w:t>
      </w:r>
    </w:p>
    <w:p>
      <w:pPr>
        <w:pStyle w:val="Normal"/>
        <w:spacing w:lineRule="auto" w:line="360"/>
        <w:jc w:val="both"/>
        <w:rPr/>
      </w:pPr>
      <w:r>
        <w:rPr>
          <w:rStyle w:val="Domylnaczcionkaakapitu"/>
          <w:rFonts w:ascii="Calibri" w:hAnsi="Calibri"/>
        </w:rPr>
        <w:tab/>
        <w:t>W strukturze organizacyjnej Miejskiego Ośrodka Pomocy Społecznej w Tomaszowie Maz.  funkcjonuje Zespół ds. Przeciwdziałania Przemocy. W jego skład w 2025 r. wchodziło czterech pracowników socjalnych. Pracownicy socjalni w swojej codziennej pracy stale współpracują                       z podmiotami zarówno z terenu miasta, jak i spoza.</w:t>
      </w:r>
    </w:p>
    <w:p>
      <w:pPr>
        <w:pStyle w:val="Normal"/>
        <w:spacing w:lineRule="auto" w:line="360"/>
        <w:jc w:val="both"/>
        <w:rPr>
          <w:rFonts w:ascii="Calibri" w:hAnsi="Calibri"/>
        </w:rPr>
      </w:pPr>
      <w:r>
        <w:rPr>
          <w:rFonts w:ascii="Calibri" w:hAnsi="Calibri"/>
        </w:rPr>
        <w:tab/>
        <w:t>Zespół ds. Przeciwdziałania Przemocy jest również grupą o charakterze interwencyjnym.              Do sekcji tej spływa większość zgłoszeń, dotyczących niepokojących sygnałów w rodzinach,                       ze szczególnym uwzględnieniem podejrzenia przemocy. W roku ubiegłym przeprowadzono 21 interwencji w rodzinach dotkniętych problemem przemocy domowej lub podejrzeniem występowania zagrożenia dla bezpieczeństwa zdrowia i życia.</w:t>
      </w:r>
    </w:p>
    <w:p>
      <w:pPr>
        <w:pStyle w:val="Normal"/>
        <w:spacing w:lineRule="auto" w:line="360"/>
        <w:jc w:val="both"/>
        <w:rPr>
          <w:rFonts w:ascii="Calibri" w:hAnsi="Calibri"/>
        </w:rPr>
      </w:pPr>
      <w:r>
        <w:rPr>
          <w:rFonts w:ascii="Calibri" w:hAnsi="Calibri"/>
        </w:rPr>
        <w:t>Działania podejmowane przez pracowników na temat danego przypadku prowadzone są szczegółowo i wnikliwie. W tym celu przeprowadzają wywiad w środowisku na podstawie wizyty, rozmowy z opiekunami dziecka, pozostałymi członkami rodziny, którzy mogą mieć wiedzę na temat funkcjonowania nieletniego oraz rodziny. W niektórych przypadkach pracownicy przeprowadzają monitoring przez dłuższy czas oraz występują o opinie do szkoły, przedszkola, poradni zdrowia, oraz do zespołu kuratorskiej służby sądowej – kuratorów zawodowych i społecznych, policji.</w:t>
      </w:r>
    </w:p>
    <w:p>
      <w:pPr>
        <w:pStyle w:val="Normal"/>
        <w:spacing w:lineRule="auto" w:line="360"/>
        <w:jc w:val="both"/>
        <w:rPr>
          <w:rFonts w:ascii="Calibri" w:hAnsi="Calibri"/>
        </w:rPr>
      </w:pPr>
      <w:r>
        <w:rPr>
          <w:rFonts w:ascii="Calibri" w:hAnsi="Calibri"/>
        </w:rPr>
        <w:t>Część zgłoszeń wyjaśniana jest na etapie wstępnym, dotyczą niewłaściwej opieki nad dziećmi, zaniedbania niejednokrotnie izolowania dziecka od drugiego rodzica, konfliktów pomiędzy opiekunami prawnymi. Sytuacje takie zwyczajowo kierowane są celem wyjaśnienia do Sądu Rejonowego w Tomaszowie Mazowieckim.</w:t>
      </w:r>
    </w:p>
    <w:p>
      <w:pPr>
        <w:pStyle w:val="Normal"/>
        <w:spacing w:lineRule="auto" w:line="360"/>
        <w:jc w:val="both"/>
        <w:rPr>
          <w:rFonts w:ascii="Calibri" w:hAnsi="Calibri"/>
        </w:rPr>
      </w:pPr>
      <w:r>
        <w:rPr>
          <w:rFonts w:ascii="Calibri" w:hAnsi="Calibri"/>
        </w:rPr>
        <w:t>Rodzina obejmowana jest pomocą psychologa poza Ośrodkiem, zarówno opiekunowie prawni tj.: rodzice, jak i dziecko zostają skierowani do odpowiednich placówek funkcjonujących na terenie miasta tj.: poradni psychologicznych, centrum zdrowia psychicznego dla dzieci i młodzieży lub ośrodka interwencji kryzysowej, aby zapewnić maksymalnie wysoki poziom pomocy oraz opieki,  poczucie bezpieczeństwa oraz sprawczości. Dlatego w uzasadnionym przypadku - przy jednoznacznym stwierdzeniu zagrożenia bezpieczeństwa -  dziecko zostaje odizolowane od sprawcy przemocy i umieszczone w środowisku zastępczym, lub mieszkaniu treningowym wraz                                 z opiekunem, który może sprawować nad nim opiekę. Dziecko wraca do domu  w przypadku ustania przemocy, wyjaśnieniu sytuacji i wydaniu właściwego postanowienia przez Sąd Rejonowy.</w:t>
      </w:r>
    </w:p>
    <w:p>
      <w:pPr>
        <w:pStyle w:val="Normal"/>
        <w:spacing w:lineRule="auto" w:line="360"/>
        <w:jc w:val="both"/>
        <w:rPr>
          <w:rFonts w:ascii="Calibri" w:hAnsi="Calibri"/>
        </w:rPr>
      </w:pPr>
      <w:r>
        <w:rPr>
          <w:rFonts w:ascii="Calibri" w:hAnsi="Calibri"/>
        </w:rPr>
        <w:t>Pracownicy działu w 2025 r. zajmowali się 2 rodzinami z 3 dzieci umieszczonymi w mieszkaniach treningowych. Osoby te zostały zabezpieczone mieszkaniowo z powodu występowania przemocy domowej.</w:t>
      </w:r>
    </w:p>
    <w:p>
      <w:pPr>
        <w:pStyle w:val="Normal"/>
        <w:spacing w:lineRule="auto" w:line="360"/>
        <w:jc w:val="both"/>
        <w:rPr>
          <w:rFonts w:ascii="Calibri" w:hAnsi="Calibri"/>
        </w:rPr>
      </w:pPr>
      <w:r>
        <w:rPr>
          <w:rFonts w:ascii="Calibri" w:hAnsi="Calibri"/>
        </w:rPr>
        <w:tab/>
        <w:t>W 2025 r. ze środowisk, w których występowało zagrożenie życia lub zdrowia odebrano                     9 dzieci z 7 rodzin i umieszczono czworo dzieci w pogotowiu rodzinnym oraz 5 dzieci u najbliższej spokrewnionej rodzinie.</w:t>
      </w:r>
    </w:p>
    <w:p>
      <w:pPr>
        <w:pStyle w:val="Normal"/>
        <w:spacing w:lineRule="auto" w:line="360"/>
        <w:jc w:val="both"/>
        <w:rPr/>
      </w:pPr>
      <w:r>
        <w:rPr>
          <w:rStyle w:val="Domylnaczcionkaakapitu"/>
          <w:rFonts w:ascii="Calibri" w:hAnsi="Calibri"/>
        </w:rPr>
        <w:tab/>
        <w:t>Miesięcznie prowadzony jest monitoring w ok. 60 środowiskach, w których została wdrożona procedura Niebieskiej Karty przez jednego pracownika socjalnego ds. przemocy.</w:t>
      </w:r>
    </w:p>
    <w:p>
      <w:pPr>
        <w:pStyle w:val="Normal"/>
        <w:spacing w:lineRule="auto" w:line="360"/>
        <w:jc w:val="both"/>
        <w:rPr>
          <w:rFonts w:ascii="Calibri" w:hAnsi="Calibri"/>
        </w:rPr>
      </w:pPr>
      <w:r>
        <w:rPr>
          <w:rFonts w:ascii="Calibri" w:hAnsi="Calibri"/>
        </w:rPr>
        <w:t>Pracownicy z Zespołu MOPS realizują dodatkowo zadania związane z Projektami: ”Miasto dla rodziny”. Wsparciem w projekcie w 2025 r. objęto łącznie 50  rodzin, w tym 13 rodzin objęto pomocą w formie poradnictwa psychologicznego oraz udziału w warsztatach dla ofiar przemocy i działaniach animacyjnych dla dzieci - „Piknik Rodzinny”.</w:t>
      </w:r>
    </w:p>
    <w:p>
      <w:pPr>
        <w:pStyle w:val="Normal"/>
        <w:spacing w:lineRule="auto" w:line="360"/>
        <w:jc w:val="both"/>
        <w:rPr>
          <w:rFonts w:ascii="Calibri" w:hAnsi="Calibri"/>
        </w:rPr>
      </w:pPr>
      <w:r>
        <w:rPr>
          <w:rFonts w:ascii="Calibri" w:hAnsi="Calibri"/>
        </w:rPr>
        <w:tab/>
        <w:t>Do obowiązków pracowników terenowych/koordynatorów należy również diagnozowanie, analizowanie oraz zbieranie danych dotyczących zjawiska przemocy na terenie miasta oraz bieżąca realizacja zadań Miejskiego Programu Przeciwdziałania Przemocy w Rodzinie i Ochrony Ofiar Przemocy w Rodzinie.</w:t>
      </w:r>
    </w:p>
    <w:p>
      <w:pPr>
        <w:pStyle w:val="Normal"/>
        <w:jc w:val="center"/>
        <w:rPr>
          <w:rFonts w:ascii="Calibri" w:hAnsi="Calibri"/>
          <w:sz w:val="20"/>
          <w:szCs w:val="20"/>
        </w:rPr>
      </w:pPr>
      <w:r>
        <w:rPr>
          <w:rFonts w:ascii="Calibri" w:hAnsi="Calibri"/>
          <w:sz w:val="20"/>
          <w:szCs w:val="20"/>
        </w:rPr>
      </w:r>
    </w:p>
    <w:p>
      <w:pPr>
        <w:pStyle w:val="Normal"/>
        <w:jc w:val="center"/>
        <w:rPr>
          <w:rFonts w:ascii="Calibri" w:hAnsi="Calibri"/>
          <w:sz w:val="20"/>
          <w:szCs w:val="20"/>
        </w:rPr>
      </w:pPr>
      <w:r>
        <w:rPr>
          <w:rFonts w:ascii="Calibri" w:hAnsi="Calibri"/>
          <w:sz w:val="20"/>
          <w:szCs w:val="20"/>
        </w:rPr>
      </w:r>
    </w:p>
    <w:p>
      <w:pPr>
        <w:pStyle w:val="Normal"/>
        <w:jc w:val="both"/>
        <w:rPr/>
      </w:pPr>
      <w:r>
        <w:rPr>
          <w:rStyle w:val="Domylnaczcionkaakapitu"/>
          <w:rFonts w:ascii="Calibri" w:hAnsi="Calibri"/>
        </w:rPr>
        <w:t>Dane do powyższego sprawozdania zostały zebrane i opracowane przez Zespół ds. Przeciwdziałania Przemocy Miejskiego Ośrodka Pomocy Społecznej w Tomaszowie Mazowieckim oraz Zespół Interdyscyplinarny ds. Przeciwdziałania Przemocy Domowej w Tomaszowie Mazowieckim</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OpenSymbol">
    <w:altName w:val="Arial Unicode MS"/>
    <w:charset w:val="ee" w:characterSet="windows-1250"/>
    <w:family w:val="auto"/>
    <w:pitch w:val="default"/>
  </w:font>
  <w:font w:name="OpenSymbol">
    <w:altName w:val="Arial Unicode MS"/>
    <w:charset w:val="ee" w:characterSet="windows-1250"/>
    <w:family w:val="auto"/>
    <w:pitch w:val="variable"/>
  </w:font>
  <w:font w:name="Times New Roman">
    <w:charset w:val="ee" w:characterSet="windows-1250"/>
    <w:family w:val="roman"/>
    <w:pitch w:val="variable"/>
  </w:font>
  <w:font w:name="Calibri">
    <w:charset w:val="ee" w:characterSet="windows-1250"/>
    <w:family w:val="swiss"/>
    <w:pitch w:val="variable"/>
  </w:font>
  <w:font w:name="Liberation Sans">
    <w:altName w:val="Arial"/>
    <w:charset w:val="ee" w:characterSet="windows-1250"/>
    <w:family w:val="swiss"/>
    <w:pitch w:val="variable"/>
  </w:font>
  <w:font w:name="Thorndale">
    <w:altName w:val="Times New Roman"/>
    <w:charset w:val="ee" w:characterSet="windows-1250"/>
    <w:family w:val="roman"/>
    <w:pitch w:val="variable"/>
  </w:font>
  <w:font w:name="Mangal">
    <w:charset w:val="ee" w:characterSet="windows-1250"/>
    <w:family w:val="roman"/>
    <w:pitch w:val="variable"/>
  </w:font>
  <w:font w:name="Cambria">
    <w:charset w:val="ee" w:characterSet="windows-1250"/>
    <w:family w:val="roman"/>
    <w:pitch w:val="variable"/>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bullet"/>
      <w:lvlText w:val=""/>
      <w:lvlJc w:val="start"/>
      <w:pPr>
        <w:tabs>
          <w:tab w:val="num" w:pos="0"/>
        </w:tabs>
        <w:ind w:start="0" w:hanging="0"/>
      </w:pPr>
      <w:rPr>
        <w:rFonts w:ascii="Symbol" w:hAnsi="Symbol" w:cs="Symbol" w:hint="default"/>
      </w:rPr>
    </w:lvl>
    <w:lvl w:ilvl="1">
      <w:start w:val="1"/>
      <w:numFmt w:val="bullet"/>
      <w:lvlText w:val="◦"/>
      <w:lvlJc w:val="start"/>
      <w:pPr>
        <w:tabs>
          <w:tab w:val="num" w:pos="0"/>
        </w:tabs>
        <w:ind w:start="0" w:hanging="0"/>
      </w:pPr>
      <w:rPr>
        <w:rFonts w:ascii="OpenSymbol" w:hAnsi="OpenSymbol" w:cs="OpenSymbol" w:hint="default"/>
      </w:rPr>
    </w:lvl>
    <w:lvl w:ilvl="2">
      <w:start w:val="1"/>
      <w:numFmt w:val="bullet"/>
      <w:lvlText w:val="▪"/>
      <w:lvlJc w:val="start"/>
      <w:pPr>
        <w:tabs>
          <w:tab w:val="num" w:pos="0"/>
        </w:tabs>
        <w:ind w:start="0" w:hanging="0"/>
      </w:pPr>
      <w:rPr>
        <w:rFonts w:ascii="OpenSymbol" w:hAnsi="OpenSymbol" w:cs="OpenSymbol" w:hint="default"/>
      </w:rPr>
    </w:lvl>
    <w:lvl w:ilvl="3">
      <w:start w:val="1"/>
      <w:numFmt w:val="bullet"/>
      <w:lvlText w:val=""/>
      <w:lvlJc w:val="start"/>
      <w:pPr>
        <w:tabs>
          <w:tab w:val="num" w:pos="0"/>
        </w:tabs>
        <w:ind w:start="0" w:hanging="0"/>
      </w:pPr>
      <w:rPr>
        <w:rFonts w:ascii="Symbol" w:hAnsi="Symbol" w:cs="Symbol" w:hint="default"/>
      </w:rPr>
    </w:lvl>
    <w:lvl w:ilvl="4">
      <w:start w:val="1"/>
      <w:numFmt w:val="bullet"/>
      <w:lvlText w:val="◦"/>
      <w:lvlJc w:val="start"/>
      <w:pPr>
        <w:tabs>
          <w:tab w:val="num" w:pos="0"/>
        </w:tabs>
        <w:ind w:start="0" w:hanging="0"/>
      </w:pPr>
      <w:rPr>
        <w:rFonts w:ascii="OpenSymbol" w:hAnsi="OpenSymbol" w:cs="OpenSymbol" w:hint="default"/>
      </w:rPr>
    </w:lvl>
    <w:lvl w:ilvl="5">
      <w:start w:val="1"/>
      <w:numFmt w:val="bullet"/>
      <w:lvlText w:val="▪"/>
      <w:lvlJc w:val="start"/>
      <w:pPr>
        <w:tabs>
          <w:tab w:val="num" w:pos="0"/>
        </w:tabs>
        <w:ind w:start="0" w:hanging="0"/>
      </w:pPr>
      <w:rPr>
        <w:rFonts w:ascii="OpenSymbol" w:hAnsi="OpenSymbol" w:cs="OpenSymbol" w:hint="default"/>
      </w:rPr>
    </w:lvl>
    <w:lvl w:ilvl="6">
      <w:start w:val="1"/>
      <w:numFmt w:val="bullet"/>
      <w:lvlText w:val=""/>
      <w:lvlJc w:val="start"/>
      <w:pPr>
        <w:tabs>
          <w:tab w:val="num" w:pos="0"/>
        </w:tabs>
        <w:ind w:start="0" w:hanging="0"/>
      </w:pPr>
      <w:rPr>
        <w:rFonts w:ascii="Symbol" w:hAnsi="Symbol" w:cs="Symbol" w:hint="default"/>
      </w:rPr>
    </w:lvl>
    <w:lvl w:ilvl="7">
      <w:start w:val="1"/>
      <w:numFmt w:val="bullet"/>
      <w:lvlText w:val="◦"/>
      <w:lvlJc w:val="start"/>
      <w:pPr>
        <w:tabs>
          <w:tab w:val="num" w:pos="0"/>
        </w:tabs>
        <w:ind w:start="0" w:hanging="0"/>
      </w:pPr>
      <w:rPr>
        <w:rFonts w:ascii="OpenSymbol" w:hAnsi="OpenSymbol" w:cs="OpenSymbol" w:hint="default"/>
      </w:rPr>
    </w:lvl>
    <w:lvl w:ilvl="8">
      <w:start w:val="1"/>
      <w:numFmt w:val="bullet"/>
      <w:lvlText w:val="▪"/>
      <w:lvlJc w:val="start"/>
      <w:pPr>
        <w:tabs>
          <w:tab w:val="num" w:pos="0"/>
        </w:tabs>
        <w:ind w:start="0" w:hanging="0"/>
      </w:pPr>
      <w:rPr>
        <w:rFonts w:ascii="OpenSymbol" w:hAnsi="OpenSymbol" w:cs="OpenSymbol" w:hint="default"/>
      </w:rPr>
    </w:lvl>
  </w:abstractNum>
  <w:num w:numId="1">
    <w:abstractNumId w:val="1"/>
  </w:num>
  <w:num w:numId="2">
    <w:abstractNumId w:val="2"/>
  </w:num>
</w:numbering>
</file>

<file path=word/settings.xml><?xml version="1.0" encoding="utf-8"?>
<w:settings xmlns:w="http://schemas.openxmlformats.org/wordprocessingml/2006/main">
  <w:zoom w:percent="11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pl-PL" w:eastAsia="zh-CN" w:bidi="hi-IN"/>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0"/>
      <w:jc w:val="start"/>
    </w:pPr>
    <w:rPr>
      <w:rFonts w:ascii="Liberation Serif" w:hAnsi="Liberation Serif" w:eastAsia="NSimSun" w:cs="Lucida Sans"/>
      <w:b w:val="false"/>
      <w:bCs w:val="false"/>
      <w:i w:val="false"/>
      <w:iCs w:val="false"/>
      <w:caps w:val="false"/>
      <w:smallCaps w:val="false"/>
      <w:strike w:val="false"/>
      <w:dstrike w:val="false"/>
      <w:outline w:val="false"/>
      <w:emboss w:val="false"/>
      <w:imprint w:val="false"/>
      <w:color w:val="auto"/>
      <w:spacing w:val="0"/>
      <w:w w:val="100"/>
      <w:kern w:val="2"/>
      <w:position w:val="0"/>
      <w:sz w:val="24"/>
      <w:szCs w:val="24"/>
      <w:u w:val="none"/>
      <w:shd w:fill="auto" w:val="clear"/>
      <w:vertAlign w:val="baseline"/>
      <w:em w:val="none"/>
      <w:lang w:val="pl-PL" w:eastAsia="zh-CN" w:bidi="hi-IN"/>
    </w:rPr>
  </w:style>
  <w:style w:type="character" w:styleId="Domylnaczcionkaakapitu">
    <w:name w:val="Domyślna czcionka akapitu"/>
    <w:qFormat/>
    <w:rPr/>
  </w:style>
  <w:style w:type="character" w:styleId="WW8Num8z0">
    <w:name w:val="WW8Num8z0"/>
    <w:qFormat/>
    <w:rPr>
      <w:rFonts w:ascii="Symbol" w:hAnsi="Symbol" w:eastAsia="Symbol" w:cs="OpenSymbol;Arial Unicode MS"/>
    </w:rPr>
  </w:style>
  <w:style w:type="character" w:styleId="WW8Num8z1">
    <w:name w:val="WW8Num8z1"/>
    <w:qFormat/>
    <w:rPr>
      <w:rFonts w:ascii="OpenSymbol;Arial Unicode MS" w:hAnsi="OpenSymbol;Arial Unicode MS" w:eastAsia="OpenSymbol;Arial Unicode MS" w:cs="OpenSymbol;Arial Unicode MS"/>
    </w:rPr>
  </w:style>
  <w:style w:type="character" w:styleId="WW8Num2z0">
    <w:name w:val="WW8Num2z0"/>
    <w:qFormat/>
    <w:rPr>
      <w:rFonts w:ascii="Symbol" w:hAnsi="Symbol" w:eastAsia="Symbol" w:cs="OpenSymbol;Arial Unicode MS"/>
    </w:rPr>
  </w:style>
  <w:style w:type="character" w:styleId="WW8Num2z1">
    <w:name w:val="WW8Num2z1"/>
    <w:qFormat/>
    <w:rPr>
      <w:rFonts w:ascii="OpenSymbol;Arial Unicode MS" w:hAnsi="OpenSymbol;Arial Unicode MS" w:eastAsia="OpenSymbol;Arial Unicode MS" w:cs="OpenSymbol;Arial Unicode MS"/>
    </w:rPr>
  </w:style>
  <w:style w:type="character" w:styleId="WW8Num11z1">
    <w:name w:val="WW8Num11z1"/>
    <w:qFormat/>
    <w:rPr>
      <w:rFonts w:ascii="OpenSymbol" w:hAnsi="OpenSymbol" w:eastAsia="OpenSymbol" w:cs="OpenSymbol"/>
    </w:rPr>
  </w:style>
  <w:style w:type="character" w:styleId="WW8Num11z0">
    <w:name w:val="WW8Num11z0"/>
    <w:qFormat/>
    <w:rPr>
      <w:rFonts w:ascii="Symbol" w:hAnsi="Symbol" w:eastAsia="Symbol" w:cs="OpenSymbol;Arial Unicode MS"/>
    </w:rPr>
  </w:style>
  <w:style w:type="character" w:styleId="Strong">
    <w:name w:val="Strong"/>
    <w:qFormat/>
    <w:rPr>
      <w:b/>
      <w:bCs/>
    </w:rPr>
  </w:style>
  <w:style w:type="character" w:styleId="Hyperlink">
    <w:name w:val="Hyperlink"/>
    <w:rPr>
      <w:color w:val="000080"/>
      <w:u w:val="single"/>
    </w:rPr>
  </w:style>
  <w:style w:type="character" w:styleId="Symbolewypunktowania">
    <w:name w:val="Symbole wypunktowania"/>
    <w:qFormat/>
    <w:rPr>
      <w:rFonts w:ascii="OpenSymbol" w:hAnsi="OpenSymbol" w:eastAsia="OpenSymbol" w:cs="OpenSymbol"/>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1z1">
    <w:name w:val="WW8Num1z1"/>
    <w:qFormat/>
    <w:rPr>
      <w:rFonts w:ascii="OpenSymbol" w:hAnsi="OpenSymbol" w:eastAsia="OpenSymbol" w:cs="OpenSymbol"/>
    </w:rPr>
  </w:style>
  <w:style w:type="character" w:styleId="WWCharLFO1LVL1">
    <w:name w:val="WW_CharLFO1LVL1"/>
    <w:qFormat/>
    <w:rPr>
      <w:rFonts w:ascii="Symbol" w:hAnsi="Symbol" w:cs="OpenSymbol;Arial Unicode MS"/>
    </w:rPr>
  </w:style>
  <w:style w:type="character" w:styleId="WWCharLFO1LVL2">
    <w:name w:val="WW_CharLFO1LVL2"/>
    <w:qFormat/>
    <w:rPr>
      <w:rFonts w:ascii="OpenSymbol;Arial Unicode MS" w:hAnsi="OpenSymbol;Arial Unicode MS" w:cs="OpenSymbol;Arial Unicode MS"/>
    </w:rPr>
  </w:style>
  <w:style w:type="character" w:styleId="WWCharLFO1LVL3">
    <w:name w:val="WW_CharLFO1LVL3"/>
    <w:qFormat/>
    <w:rPr>
      <w:rFonts w:ascii="OpenSymbol;Arial Unicode MS" w:hAnsi="OpenSymbol;Arial Unicode MS" w:cs="OpenSymbol;Arial Unicode MS"/>
    </w:rPr>
  </w:style>
  <w:style w:type="character" w:styleId="WWCharLFO1LVL4">
    <w:name w:val="WW_CharLFO1LVL4"/>
    <w:qFormat/>
    <w:rPr>
      <w:rFonts w:ascii="Symbol" w:hAnsi="Symbol" w:cs="OpenSymbol;Arial Unicode MS"/>
    </w:rPr>
  </w:style>
  <w:style w:type="character" w:styleId="WWCharLFO1LVL5">
    <w:name w:val="WW_CharLFO1LVL5"/>
    <w:qFormat/>
    <w:rPr>
      <w:rFonts w:ascii="OpenSymbol;Arial Unicode MS" w:hAnsi="OpenSymbol;Arial Unicode MS" w:cs="OpenSymbol;Arial Unicode MS"/>
    </w:rPr>
  </w:style>
  <w:style w:type="character" w:styleId="WWCharLFO1LVL6">
    <w:name w:val="WW_CharLFO1LVL6"/>
    <w:qFormat/>
    <w:rPr>
      <w:rFonts w:ascii="OpenSymbol;Arial Unicode MS" w:hAnsi="OpenSymbol;Arial Unicode MS" w:cs="OpenSymbol;Arial Unicode MS"/>
    </w:rPr>
  </w:style>
  <w:style w:type="character" w:styleId="WWCharLFO1LVL7">
    <w:name w:val="WW_CharLFO1LVL7"/>
    <w:qFormat/>
    <w:rPr>
      <w:rFonts w:ascii="Symbol" w:hAnsi="Symbol" w:cs="OpenSymbol;Arial Unicode MS"/>
    </w:rPr>
  </w:style>
  <w:style w:type="character" w:styleId="WWCharLFO1LVL8">
    <w:name w:val="WW_CharLFO1LVL8"/>
    <w:qFormat/>
    <w:rPr>
      <w:rFonts w:ascii="OpenSymbol;Arial Unicode MS" w:hAnsi="OpenSymbol;Arial Unicode MS" w:cs="OpenSymbol;Arial Unicode MS"/>
    </w:rPr>
  </w:style>
  <w:style w:type="character" w:styleId="WWCharLFO1LVL9">
    <w:name w:val="WW_CharLFO1LVL9"/>
    <w:qFormat/>
    <w:rPr>
      <w:rFonts w:ascii="OpenSymbol;Arial Unicode MS" w:hAnsi="OpenSymbol;Arial Unicode MS" w:cs="OpenSymbol;Arial Unicode MS"/>
    </w:rPr>
  </w:style>
  <w:style w:type="character" w:styleId="WWCharLFO2LVL1">
    <w:name w:val="WW_CharLFO2LVL1"/>
    <w:qFormat/>
    <w:rPr>
      <w:rFonts w:ascii="Symbol" w:hAnsi="Symbol" w:cs="OpenSymbol;Arial Unicode MS"/>
    </w:rPr>
  </w:style>
  <w:style w:type="character" w:styleId="WWCharLFO2LVL2">
    <w:name w:val="WW_CharLFO2LVL2"/>
    <w:qFormat/>
    <w:rPr>
      <w:rFonts w:ascii="OpenSymbol;Arial Unicode MS" w:hAnsi="OpenSymbol;Arial Unicode MS" w:cs="OpenSymbol;Arial Unicode MS"/>
    </w:rPr>
  </w:style>
  <w:style w:type="character" w:styleId="WWCharLFO2LVL3">
    <w:name w:val="WW_CharLFO2LVL3"/>
    <w:qFormat/>
    <w:rPr>
      <w:rFonts w:ascii="OpenSymbol;Arial Unicode MS" w:hAnsi="OpenSymbol;Arial Unicode MS" w:cs="OpenSymbol;Arial Unicode MS"/>
    </w:rPr>
  </w:style>
  <w:style w:type="character" w:styleId="WWCharLFO2LVL4">
    <w:name w:val="WW_CharLFO2LVL4"/>
    <w:qFormat/>
    <w:rPr>
      <w:rFonts w:ascii="Symbol" w:hAnsi="Symbol" w:cs="OpenSymbol;Arial Unicode MS"/>
    </w:rPr>
  </w:style>
  <w:style w:type="character" w:styleId="WWCharLFO2LVL5">
    <w:name w:val="WW_CharLFO2LVL5"/>
    <w:qFormat/>
    <w:rPr>
      <w:rFonts w:ascii="OpenSymbol;Arial Unicode MS" w:hAnsi="OpenSymbol;Arial Unicode MS" w:cs="OpenSymbol;Arial Unicode MS"/>
    </w:rPr>
  </w:style>
  <w:style w:type="character" w:styleId="WWCharLFO2LVL6">
    <w:name w:val="WW_CharLFO2LVL6"/>
    <w:qFormat/>
    <w:rPr>
      <w:rFonts w:ascii="OpenSymbol;Arial Unicode MS" w:hAnsi="OpenSymbol;Arial Unicode MS" w:cs="OpenSymbol;Arial Unicode MS"/>
    </w:rPr>
  </w:style>
  <w:style w:type="character" w:styleId="WWCharLFO2LVL7">
    <w:name w:val="WW_CharLFO2LVL7"/>
    <w:qFormat/>
    <w:rPr>
      <w:rFonts w:ascii="Symbol" w:hAnsi="Symbol" w:cs="OpenSymbol;Arial Unicode MS"/>
    </w:rPr>
  </w:style>
  <w:style w:type="character" w:styleId="WWCharLFO2LVL8">
    <w:name w:val="WW_CharLFO2LVL8"/>
    <w:qFormat/>
    <w:rPr>
      <w:rFonts w:ascii="OpenSymbol;Arial Unicode MS" w:hAnsi="OpenSymbol;Arial Unicode MS" w:cs="OpenSymbol;Arial Unicode MS"/>
    </w:rPr>
  </w:style>
  <w:style w:type="character" w:styleId="WWCharLFO2LVL9">
    <w:name w:val="WW_CharLFO2LVL9"/>
    <w:qFormat/>
    <w:rPr>
      <w:rFonts w:ascii="OpenSymbol;Arial Unicode MS" w:hAnsi="OpenSymbol;Arial Unicode MS" w:cs="OpenSymbol;Arial Unicode MS"/>
    </w:rPr>
  </w:style>
  <w:style w:type="character" w:styleId="WWCharLFO5LVL1">
    <w:name w:val="WW_CharLFO5LVL1"/>
    <w:qFormat/>
    <w:rPr>
      <w:rFonts w:ascii="Times New Roman" w:hAnsi="Times New Roman" w:cs="OpenSymbol"/>
    </w:rPr>
  </w:style>
  <w:style w:type="character" w:styleId="WWCharLFO5LVL2">
    <w:name w:val="WW_CharLFO5LVL2"/>
    <w:qFormat/>
    <w:rPr>
      <w:rFonts w:ascii="Calibri" w:hAnsi="Calibri" w:cs="OpenSymbol"/>
      <w:b/>
    </w:rPr>
  </w:style>
  <w:style w:type="character" w:styleId="WWCharLFO5LVL3">
    <w:name w:val="WW_CharLFO5LVL3"/>
    <w:qFormat/>
    <w:rPr>
      <w:rFonts w:ascii="Times New Roman" w:hAnsi="Times New Roman" w:cs="OpenSymbol"/>
    </w:rPr>
  </w:style>
  <w:style w:type="character" w:styleId="WWCharLFO5LVL4">
    <w:name w:val="WW_CharLFO5LVL4"/>
    <w:qFormat/>
    <w:rPr>
      <w:rFonts w:ascii="Times New Roman" w:hAnsi="Times New Roman" w:cs="OpenSymbol"/>
    </w:rPr>
  </w:style>
  <w:style w:type="character" w:styleId="WWCharLFO5LVL5">
    <w:name w:val="WW_CharLFO5LVL5"/>
    <w:qFormat/>
    <w:rPr>
      <w:rFonts w:ascii="Times New Roman" w:hAnsi="Times New Roman" w:cs="OpenSymbol"/>
    </w:rPr>
  </w:style>
  <w:style w:type="character" w:styleId="WWCharLFO5LVL6">
    <w:name w:val="WW_CharLFO5LVL6"/>
    <w:qFormat/>
    <w:rPr>
      <w:rFonts w:ascii="Times New Roman" w:hAnsi="Times New Roman" w:cs="OpenSymbol"/>
    </w:rPr>
  </w:style>
  <w:style w:type="character" w:styleId="WWCharLFO5LVL7">
    <w:name w:val="WW_CharLFO5LVL7"/>
    <w:qFormat/>
    <w:rPr>
      <w:rFonts w:ascii="Times New Roman" w:hAnsi="Times New Roman" w:cs="OpenSymbol"/>
    </w:rPr>
  </w:style>
  <w:style w:type="character" w:styleId="WWCharLFO5LVL8">
    <w:name w:val="WW_CharLFO5LVL8"/>
    <w:qFormat/>
    <w:rPr>
      <w:rFonts w:ascii="Times New Roman" w:hAnsi="Times New Roman" w:cs="OpenSymbol"/>
    </w:rPr>
  </w:style>
  <w:style w:type="character" w:styleId="WWCharLFO5LVL9">
    <w:name w:val="WW_CharLFO5LVL9"/>
    <w:qFormat/>
    <w:rPr>
      <w:rFonts w:ascii="Times New Roman" w:hAnsi="Times New Roman" w:cs="OpenSymbol"/>
    </w:rPr>
  </w:style>
  <w:style w:type="character" w:styleId="WWCharLFO6LVL1">
    <w:name w:val="WW_CharLFO6LVL1"/>
    <w:qFormat/>
    <w:rPr>
      <w:rFonts w:ascii="Symbol" w:hAnsi="Symbol" w:cs="OpenSymbol;Arial Unicode MS"/>
    </w:rPr>
  </w:style>
  <w:style w:type="character" w:styleId="WWCharLFO6LVL2">
    <w:name w:val="WW_CharLFO6LVL2"/>
    <w:qFormat/>
    <w:rPr>
      <w:rFonts w:ascii="OpenSymbol;Arial Unicode MS" w:hAnsi="OpenSymbol;Arial Unicode MS" w:cs="OpenSymbol"/>
    </w:rPr>
  </w:style>
  <w:style w:type="character" w:styleId="WWCharLFO6LVL3">
    <w:name w:val="WW_CharLFO6LVL3"/>
    <w:qFormat/>
    <w:rPr>
      <w:rFonts w:ascii="OpenSymbol;Arial Unicode MS" w:hAnsi="OpenSymbol;Arial Unicode MS" w:cs="OpenSymbol"/>
    </w:rPr>
  </w:style>
  <w:style w:type="character" w:styleId="WWCharLFO6LVL4">
    <w:name w:val="WW_CharLFO6LVL4"/>
    <w:qFormat/>
    <w:rPr>
      <w:rFonts w:ascii="Symbol" w:hAnsi="Symbol" w:cs="OpenSymbol;Arial Unicode MS"/>
    </w:rPr>
  </w:style>
  <w:style w:type="character" w:styleId="WWCharLFO6LVL5">
    <w:name w:val="WW_CharLFO6LVL5"/>
    <w:qFormat/>
    <w:rPr>
      <w:rFonts w:ascii="OpenSymbol;Arial Unicode MS" w:hAnsi="OpenSymbol;Arial Unicode MS" w:cs="OpenSymbol"/>
    </w:rPr>
  </w:style>
  <w:style w:type="character" w:styleId="WWCharLFO6LVL6">
    <w:name w:val="WW_CharLFO6LVL6"/>
    <w:qFormat/>
    <w:rPr>
      <w:rFonts w:ascii="OpenSymbol;Arial Unicode MS" w:hAnsi="OpenSymbol;Arial Unicode MS" w:cs="OpenSymbol"/>
    </w:rPr>
  </w:style>
  <w:style w:type="character" w:styleId="WWCharLFO6LVL7">
    <w:name w:val="WW_CharLFO6LVL7"/>
    <w:qFormat/>
    <w:rPr>
      <w:rFonts w:ascii="Symbol" w:hAnsi="Symbol" w:cs="OpenSymbol;Arial Unicode MS"/>
    </w:rPr>
  </w:style>
  <w:style w:type="character" w:styleId="WWCharLFO6LVL8">
    <w:name w:val="WW_CharLFO6LVL8"/>
    <w:qFormat/>
    <w:rPr>
      <w:rFonts w:ascii="OpenSymbol;Arial Unicode MS" w:hAnsi="OpenSymbol;Arial Unicode MS" w:cs="OpenSymbol"/>
    </w:rPr>
  </w:style>
  <w:style w:type="character" w:styleId="WWCharLFO6LVL9">
    <w:name w:val="WW_CharLFO6LVL9"/>
    <w:qFormat/>
    <w:rPr>
      <w:rFonts w:ascii="OpenSymbol;Arial Unicode MS" w:hAnsi="OpenSymbol;Arial Unicode MS" w:cs="OpenSymbol"/>
    </w:rPr>
  </w:style>
  <w:style w:type="character" w:styleId="WWCharLFO7LVL1">
    <w:name w:val="WW_CharLFO7LVL1"/>
    <w:qFormat/>
    <w:rPr>
      <w:b/>
      <w:bCs/>
    </w:rPr>
  </w:style>
  <w:style w:type="paragraph" w:styleId="Normalny">
    <w:name w:val="Normalny"/>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0"/>
      <w:jc w:val="start"/>
    </w:pPr>
    <w:rPr>
      <w:rFonts w:ascii="Liberation Serif" w:hAnsi="Liberation Serif" w:eastAsia="NSimSun" w:cs="Lucida Sans"/>
      <w:b w:val="false"/>
      <w:bCs w:val="false"/>
      <w:i w:val="false"/>
      <w:iCs w:val="false"/>
      <w:caps w:val="false"/>
      <w:smallCaps w:val="false"/>
      <w:strike w:val="false"/>
      <w:dstrike w:val="false"/>
      <w:outline w:val="false"/>
      <w:emboss w:val="false"/>
      <w:imprint w:val="false"/>
      <w:color w:val="auto"/>
      <w:spacing w:val="0"/>
      <w:w w:val="100"/>
      <w:kern w:val="2"/>
      <w:position w:val="0"/>
      <w:sz w:val="24"/>
      <w:szCs w:val="24"/>
      <w:u w:val="none"/>
      <w:shd w:fill="auto" w:val="clear"/>
      <w:vertAlign w:val="baseline"/>
      <w:em w:val="none"/>
      <w:lang w:val="pl-PL" w:eastAsia="zh-CN" w:bidi="hi-IN"/>
    </w:rPr>
  </w:style>
  <w:style w:type="paragraph" w:styleId="Nagwek">
    <w:name w:val="Nagłówek"/>
    <w:basedOn w:val="Normal"/>
    <w:next w:val="BodyText"/>
    <w:qFormat/>
    <w:pPr>
      <w:keepNext w:val="true"/>
      <w:suppressAutoHyphens w:val="true"/>
      <w:spacing w:before="240" w:after="120"/>
    </w:pPr>
    <w:rPr>
      <w:rFonts w:ascii="Liberation Sans" w:hAnsi="Liberation Sans" w:eastAsia="Microsoft YaHei"/>
      <w:sz w:val="28"/>
      <w:szCs w:val="28"/>
    </w:rPr>
  </w:style>
  <w:style w:type="paragraph" w:styleId="BodyText">
    <w:name w:val="Body Text"/>
    <w:basedOn w:val="Normal"/>
    <w:pPr>
      <w:suppressAutoHyphens w:val="true"/>
      <w:spacing w:lineRule="auto" w:line="276" w:before="0" w:after="140"/>
    </w:pPr>
    <w:rPr/>
  </w:style>
  <w:style w:type="paragraph" w:styleId="Listauser">
    <w:name w:val="Lista (user)"/>
    <w:basedOn w:val="BodyText"/>
    <w:qFormat/>
    <w:pPr>
      <w:suppressAutoHyphens w:val="true"/>
    </w:pPr>
    <w:rPr/>
  </w:style>
  <w:style w:type="paragraph" w:styleId="Legenda">
    <w:name w:val="Legenda"/>
    <w:basedOn w:val="Normal"/>
    <w:qFormat/>
    <w:pPr>
      <w:suppressLineNumbers/>
      <w:suppressAutoHyphens w:val="true"/>
      <w:spacing w:before="120" w:after="120"/>
    </w:pPr>
    <w:rPr>
      <w:i/>
      <w:iCs/>
    </w:rPr>
  </w:style>
  <w:style w:type="paragraph" w:styleId="Indeks">
    <w:name w:val="Indeks"/>
    <w:basedOn w:val="Normal"/>
    <w:qFormat/>
    <w:pPr>
      <w:suppressLineNumbers/>
      <w:suppressAutoHyphens w:val="true"/>
    </w:pPr>
    <w:rPr/>
  </w:style>
  <w:style w:type="paragraph" w:styleId="Standard">
    <w:name w:val="Standard"/>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before="0" w:after="0"/>
      <w:jc w:val="start"/>
    </w:pPr>
    <w:rPr>
      <w:rFonts w:ascii="Liberation Serif" w:hAnsi="Liberation Serif" w:eastAsia="NSimSun" w:cs="Lucida Sans"/>
      <w:b w:val="false"/>
      <w:bCs w:val="false"/>
      <w:i w:val="false"/>
      <w:iCs w:val="false"/>
      <w:caps w:val="false"/>
      <w:smallCaps w:val="false"/>
      <w:strike w:val="false"/>
      <w:dstrike w:val="false"/>
      <w:outline w:val="false"/>
      <w:emboss w:val="false"/>
      <w:imprint w:val="false"/>
      <w:color w:val="auto"/>
      <w:spacing w:val="0"/>
      <w:w w:val="100"/>
      <w:kern w:val="2"/>
      <w:position w:val="0"/>
      <w:sz w:val="24"/>
      <w:szCs w:val="24"/>
      <w:u w:val="none"/>
      <w:shd w:fill="auto" w:val="clear"/>
      <w:vertAlign w:val="baseline"/>
      <w:em w:val="none"/>
      <w:lang w:val="pl-PL" w:eastAsia="zh-CN" w:bidi="hi-IN"/>
    </w:rPr>
  </w:style>
  <w:style w:type="paragraph" w:styleId="TableContents">
    <w:name w:val="Table Contents"/>
    <w:basedOn w:val="Standard"/>
    <w:qFormat/>
    <w:pPr>
      <w:suppressLineNumbers/>
      <w:suppressAutoHyphens w:val="true"/>
    </w:pPr>
    <w:rPr/>
  </w:style>
  <w:style w:type="paragraph" w:styleId="Zawartotabeli">
    <w:name w:val="Zawartość tabeli"/>
    <w:basedOn w:val="Normal"/>
    <w:qFormat/>
    <w:pPr>
      <w:widowControl w:val="false"/>
      <w:suppressLineNumbers/>
      <w:suppressAutoHyphens w:val="true"/>
    </w:pPr>
    <w:rPr/>
  </w:style>
  <w:style w:type="paragraph" w:styleId="Default">
    <w:name w:val="Default"/>
    <w:basedOn w:val="Standard"/>
    <w:qFormat/>
    <w:pPr>
      <w:suppressAutoHyphens w:val="true"/>
      <w:autoSpaceDE w:val="false"/>
    </w:pPr>
    <w:rPr>
      <w:rFonts w:ascii="Times New Roman" w:hAnsi="Times New Roman" w:eastAsia="Times New Roman" w:cs="Times New Roman"/>
      <w:color w:val="000000"/>
      <w:lang w:val="de-DE" w:eastAsia="ja-JP" w:bidi="fa-IR"/>
    </w:rPr>
  </w:style>
  <w:style w:type="paragraph" w:styleId="Akapitzlist">
    <w:name w:val="Akapit z listą"/>
    <w:basedOn w:val="Normal"/>
    <w:qFormat/>
    <w:pPr>
      <w:tabs>
        <w:tab w:val="clear" w:pos="709"/>
      </w:tabs>
      <w:suppressAutoHyphens w:val="true"/>
      <w:spacing w:before="0" w:after="160"/>
      <w:ind w:start="720"/>
      <w:contextualSpacing/>
    </w:pPr>
    <w:rPr/>
  </w:style>
  <w:style w:type="paragraph" w:styleId="lyt-darkblueLTUntertitel">
    <w:name w:val="lyt-darkblue~LT~Untertitel"/>
    <w:qFormat/>
    <w:pPr>
      <w:keepNext w:val="false"/>
      <w:keepLines w:val="false"/>
      <w:pageBreakBefore w:val="false"/>
      <w:widowControl/>
      <w:pBdr/>
      <w:shd w:fill="auto" w:val="clear"/>
      <w:suppressAutoHyphens w:val="true"/>
      <w:kinsoku w:val="true"/>
      <w:overflowPunct w:val="true"/>
      <w:autoSpaceDE w:val="false"/>
      <w:bidi w:val="0"/>
      <w:snapToGrid w:val="true"/>
      <w:spacing w:lineRule="auto" w:line="240" w:before="0" w:after="0"/>
      <w:ind w:hanging="340"/>
      <w:jc w:val="center"/>
    </w:pPr>
    <w:rPr>
      <w:rFonts w:ascii="Thorndale" w:hAnsi="Thorndale" w:eastAsia="Thorndale" w:cs="Thorndale"/>
      <w:b w:val="false"/>
      <w:bCs w:val="false"/>
      <w:i w:val="false"/>
      <w:iCs w:val="false"/>
      <w:caps w:val="false"/>
      <w:smallCaps w:val="false"/>
      <w:strike w:val="false"/>
      <w:dstrike w:val="false"/>
      <w:outline w:val="false"/>
      <w:emboss w:val="false"/>
      <w:imprint w:val="false"/>
      <w:color w:val="CCCCCC"/>
      <w:spacing w:val="0"/>
      <w:w w:val="100"/>
      <w:kern w:val="2"/>
      <w:position w:val="0"/>
      <w:sz w:val="48"/>
      <w:szCs w:val="48"/>
      <w:u w:val="none"/>
      <w:shd w:fill="auto" w:val="clear"/>
      <w:vertAlign w:val="baseline"/>
      <w:em w:val="none"/>
      <w:lang w:val="pl-PL" w:eastAsia="zh-CN" w:bidi="hi-IN"/>
    </w:rPr>
  </w:style>
  <w:style w:type="paragraph" w:styleId="Nagwektabeli">
    <w:name w:val="Nagłówek tabeli"/>
    <w:basedOn w:val="Zawartotabeli"/>
    <w:qFormat/>
    <w:pPr>
      <w:suppressAutoHyphens w:val="true"/>
      <w:jc w:val="center"/>
    </w:pPr>
    <w:rPr>
      <w:b/>
      <w:bCs/>
    </w:rPr>
  </w:style>
  <w:style w:type="paragraph" w:styleId="Gwkaistopka">
    <w:name w:val="Główka i stopka"/>
    <w:basedOn w:val="Normal"/>
    <w:qFormat/>
    <w:pPr>
      <w:suppressLineNumbers/>
      <w:tabs>
        <w:tab w:val="clear" w:pos="709"/>
        <w:tab w:val="center" w:pos="4819" w:leader="none"/>
        <w:tab w:val="right" w:pos="9638" w:leader="none"/>
      </w:tabs>
      <w:suppressAutoHyphens w:val="true"/>
    </w:pPr>
    <w:rPr/>
  </w:style>
  <w:style w:type="paragraph" w:styleId="Nagwekuser">
    <w:name w:val="Nagłówek (user)"/>
    <w:basedOn w:val="Gwkaistopka"/>
    <w:qFormat/>
    <w:pPr>
      <w:suppressAutoHyphens w:val="true"/>
    </w:pPr>
    <w:rPr/>
  </w:style>
  <w:style w:type="paragraph" w:styleId="Domylnie">
    <w:name w:val="Domy?lnie"/>
    <w:qFormat/>
    <w:pPr>
      <w:keepNext w:val="false"/>
      <w:keepLines w:val="false"/>
      <w:pageBreakBefore w:val="false"/>
      <w:widowControl/>
      <w:pBdr/>
      <w:shd w:fill="auto" w:val="clear"/>
      <w:suppressAutoHyphens w:val="true"/>
      <w:kinsoku w:val="true"/>
      <w:overflowPunct w:val="true"/>
      <w:autoSpaceDE w:val="true"/>
      <w:bidi w:val="0"/>
      <w:snapToGrid w:val="true"/>
      <w:spacing w:lineRule="atLeast" w:line="200" w:before="0" w:after="0"/>
      <w:jc w:val="start"/>
    </w:pPr>
    <w:rPr>
      <w:rFonts w:ascii="Mangal" w:hAnsi="Mangal" w:eastAsia="Mangal" w:cs="Mangal"/>
      <w:b w:val="false"/>
      <w:bCs w:val="false"/>
      <w:i w:val="false"/>
      <w:iCs w:val="false"/>
      <w:caps w:val="false"/>
      <w:smallCaps w:val="false"/>
      <w:strike w:val="false"/>
      <w:dstrike w:val="false"/>
      <w:outline w:val="false"/>
      <w:emboss w:val="false"/>
      <w:imprint w:val="false"/>
      <w:color w:val="auto"/>
      <w:spacing w:val="0"/>
      <w:w w:val="100"/>
      <w:kern w:val="2"/>
      <w:position w:val="0"/>
      <w:sz w:val="36"/>
      <w:szCs w:val="36"/>
      <w:u w:val="none"/>
      <w:shd w:fill="auto" w:val="clear"/>
      <w:vertAlign w:val="baseline"/>
      <w:em w:val="none"/>
      <w:lang w:val="pl-PL" w:eastAsia="zh-CN" w:bidi="hi-IN"/>
    </w:rPr>
  </w:style>
  <w:style w:type="paragraph" w:styleId="NormalnyWeb">
    <w:name w:val="Normalny (Web)"/>
    <w:basedOn w:val="Normal"/>
    <w:qFormat/>
    <w:pPr>
      <w:suppressAutoHyphens w:val="true"/>
      <w:spacing w:before="280" w:after="280"/>
    </w:pPr>
    <w:rPr>
      <w:rFonts w:ascii="Times New Roman" w:hAnsi="Times New Roman" w:eastAsia="Times New Roman" w:cs="Times New Roman"/>
    </w:rPr>
  </w:style>
  <w:style w:type="numbering" w:styleId="WW8Num8">
    <w:name w:val="WW8Num8"/>
    <w:qFormat/>
  </w:style>
  <w:style w:type="numbering" w:styleId="WW8Num2">
    <w:name w:val="WW8Num2"/>
    <w:qFormat/>
  </w:style>
  <w:style w:type="numbering" w:styleId="WW8Num7">
    <w:name w:val="WW8Num7"/>
    <w:qFormat/>
  </w:style>
  <w:style w:type="numbering" w:styleId="WW8Num3">
    <w:name w:val="WW8Num3"/>
    <w:qFormat/>
  </w:style>
  <w:style w:type="numbering" w:styleId="WW8Num11">
    <w:name w:val="WW8Num1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9</TotalTime>
  <Application>LibreOffice/25.8.4.2$Windows_X86_64 LibreOffice_project/290daaa01b999472f0c7a3890eb6a550fd74c6df</Application>
  <AppVersion>15.0000</AppVersion>
  <Pages>9</Pages>
  <Words>2579</Words>
  <Characters>15476</Characters>
  <CharactersWithSpaces>18019</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2026-02-13T12:29:00Z</dcterms:created>
  <dc:creator>Łukasz ŁM. Michalczyk</dc:creator>
  <dc:description/>
  <dc:language>pl-PL</dc:language>
  <cp:lastModifiedBy>Łukasz ŁM. Michalczyk</cp:lastModifiedBy>
  <cp:lastPrinted>2026-02-12T11:44:00Z</cp:lastPrinted>
  <dcterms:modified xsi:type="dcterms:W3CDTF">2026-02-13T12:42:00Z</dcterms:modified>
  <cp:revision>3</cp:revision>
  <dc:subject/>
  <dc:title/>
</cp:coreProperties>
</file>