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229" w:rsidRPr="00DD1229" w:rsidRDefault="00DD1229" w:rsidP="00A91B3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D1229" w:rsidRDefault="00DD1229" w:rsidP="008B5021">
      <w:pPr>
        <w:spacing w:line="360" w:lineRule="auto"/>
        <w:ind w:left="7788"/>
        <w:jc w:val="both"/>
        <w:rPr>
          <w:rFonts w:asciiTheme="minorHAnsi" w:hAnsiTheme="minorHAnsi" w:cstheme="minorHAnsi"/>
          <w:i/>
        </w:rPr>
      </w:pPr>
      <w:r w:rsidRPr="00E43272">
        <w:rPr>
          <w:rFonts w:asciiTheme="minorHAnsi" w:hAnsiTheme="minorHAnsi" w:cstheme="minorHAnsi"/>
          <w:i/>
        </w:rPr>
        <w:t>PROJEKT</w:t>
      </w:r>
    </w:p>
    <w:p w:rsidR="00016CD8" w:rsidRPr="00E43272" w:rsidRDefault="00016CD8" w:rsidP="008B5021">
      <w:pPr>
        <w:spacing w:line="360" w:lineRule="auto"/>
        <w:ind w:left="7788"/>
        <w:jc w:val="both"/>
        <w:rPr>
          <w:rFonts w:asciiTheme="minorHAnsi" w:hAnsiTheme="minorHAnsi" w:cstheme="minorHAnsi"/>
          <w:i/>
        </w:rPr>
      </w:pP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>UCHWAŁA NR</w:t>
      </w:r>
      <w:proofErr w:type="gramStart"/>
      <w:r w:rsidRPr="00DD1229">
        <w:rPr>
          <w:rFonts w:asciiTheme="minorHAnsi" w:hAnsiTheme="minorHAnsi" w:cstheme="minorHAnsi"/>
          <w:b/>
          <w:sz w:val="28"/>
          <w:szCs w:val="28"/>
        </w:rPr>
        <w:t xml:space="preserve"> ….</w:t>
      </w:r>
      <w:proofErr w:type="gramEnd"/>
      <w:r w:rsidRPr="00DD1229">
        <w:rPr>
          <w:rFonts w:asciiTheme="minorHAnsi" w:hAnsiTheme="minorHAnsi" w:cstheme="minorHAnsi"/>
          <w:b/>
          <w:sz w:val="28"/>
          <w:szCs w:val="28"/>
        </w:rPr>
        <w:t>/……/202</w:t>
      </w:r>
      <w:r w:rsidR="00AF09B6">
        <w:rPr>
          <w:rFonts w:asciiTheme="minorHAnsi" w:hAnsiTheme="minorHAnsi" w:cstheme="minorHAnsi"/>
          <w:b/>
          <w:sz w:val="28"/>
          <w:szCs w:val="28"/>
        </w:rPr>
        <w:t>4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>RADY MIEJSKIEJ TOMASZOWA MAZOWIECKIEGO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 xml:space="preserve">z </w:t>
      </w:r>
      <w:r>
        <w:rPr>
          <w:rFonts w:asciiTheme="minorHAnsi" w:hAnsiTheme="minorHAnsi" w:cstheme="minorHAnsi"/>
          <w:b/>
          <w:sz w:val="28"/>
          <w:szCs w:val="28"/>
        </w:rPr>
        <w:t>dnia ……</w:t>
      </w:r>
      <w:proofErr w:type="gramStart"/>
      <w:r>
        <w:rPr>
          <w:rFonts w:asciiTheme="minorHAnsi" w:hAnsiTheme="minorHAnsi" w:cstheme="minorHAnsi"/>
          <w:b/>
          <w:sz w:val="28"/>
          <w:szCs w:val="28"/>
        </w:rPr>
        <w:t>…….</w:t>
      </w:r>
      <w:proofErr w:type="gramEnd"/>
      <w:r>
        <w:rPr>
          <w:rFonts w:asciiTheme="minorHAnsi" w:hAnsiTheme="minorHAnsi" w:cstheme="minorHAnsi"/>
          <w:b/>
          <w:sz w:val="28"/>
          <w:szCs w:val="28"/>
        </w:rPr>
        <w:t>.</w:t>
      </w:r>
      <w:r w:rsidRPr="00DD1229">
        <w:rPr>
          <w:rFonts w:asciiTheme="minorHAnsi" w:hAnsiTheme="minorHAnsi" w:cstheme="minorHAnsi"/>
          <w:b/>
          <w:sz w:val="28"/>
          <w:szCs w:val="28"/>
        </w:rPr>
        <w:t>…………… 202</w:t>
      </w:r>
      <w:r w:rsidR="00AF09B6">
        <w:rPr>
          <w:rFonts w:asciiTheme="minorHAnsi" w:hAnsiTheme="minorHAnsi" w:cstheme="minorHAnsi"/>
          <w:b/>
          <w:sz w:val="28"/>
          <w:szCs w:val="28"/>
        </w:rPr>
        <w:t>4</w:t>
      </w:r>
      <w:r w:rsidRPr="00DD1229">
        <w:rPr>
          <w:rFonts w:asciiTheme="minorHAnsi" w:hAnsiTheme="minorHAnsi" w:cstheme="minorHAnsi"/>
          <w:b/>
          <w:sz w:val="28"/>
          <w:szCs w:val="28"/>
        </w:rPr>
        <w:t xml:space="preserve"> roku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D1229" w:rsidRPr="00BC7375" w:rsidRDefault="00DD1229" w:rsidP="00DD122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F3630">
        <w:rPr>
          <w:rFonts w:asciiTheme="minorHAnsi" w:hAnsiTheme="minorHAnsi" w:cstheme="minorHAnsi"/>
          <w:b/>
          <w:sz w:val="22"/>
          <w:szCs w:val="22"/>
        </w:rPr>
        <w:t xml:space="preserve">w sprawie </w:t>
      </w:r>
      <w:r w:rsidR="00890BE2">
        <w:rPr>
          <w:rFonts w:asciiTheme="minorHAnsi" w:hAnsiTheme="minorHAnsi" w:cstheme="minorHAnsi"/>
          <w:b/>
          <w:sz w:val="22"/>
          <w:szCs w:val="22"/>
        </w:rPr>
        <w:t>powołania komisji doraźnej do dokonania zniszczenia zgłoszeń kandydatów na ławników</w:t>
      </w:r>
      <w:r w:rsidR="00AF09B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F09B6">
        <w:rPr>
          <w:rFonts w:asciiTheme="minorHAnsi" w:hAnsiTheme="minorHAnsi" w:cstheme="minorHAnsi"/>
          <w:b/>
          <w:sz w:val="22"/>
          <w:szCs w:val="22"/>
        </w:rPr>
        <w:br/>
        <w:t xml:space="preserve">w wyborach uzupełniających na kadencję </w:t>
      </w:r>
      <w:r w:rsidR="002D1D8C">
        <w:rPr>
          <w:rFonts w:asciiTheme="minorHAnsi" w:hAnsiTheme="minorHAnsi" w:cstheme="minorHAnsi"/>
          <w:b/>
          <w:sz w:val="22"/>
          <w:szCs w:val="22"/>
        </w:rPr>
        <w:t xml:space="preserve">w latach </w:t>
      </w:r>
      <w:r w:rsidR="00AF09B6">
        <w:rPr>
          <w:rFonts w:asciiTheme="minorHAnsi" w:hAnsiTheme="minorHAnsi" w:cstheme="minorHAnsi"/>
          <w:b/>
          <w:sz w:val="22"/>
          <w:szCs w:val="22"/>
        </w:rPr>
        <w:t xml:space="preserve">2024 – 2027. </w:t>
      </w:r>
      <w:r w:rsidR="00890BE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3211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DD1229" w:rsidRPr="00DD1229" w:rsidRDefault="00DD1229" w:rsidP="00DD1229">
      <w:pPr>
        <w:jc w:val="both"/>
        <w:rPr>
          <w:rFonts w:asciiTheme="minorHAnsi" w:hAnsiTheme="minorHAnsi" w:cstheme="minorHAnsi"/>
        </w:rPr>
      </w:pPr>
    </w:p>
    <w:p w:rsidR="00DD1229" w:rsidRPr="00DD1229" w:rsidRDefault="00DD1229" w:rsidP="00DD1229">
      <w:pPr>
        <w:jc w:val="both"/>
        <w:rPr>
          <w:rFonts w:asciiTheme="minorHAnsi" w:hAnsiTheme="minorHAnsi" w:cstheme="minorHAnsi"/>
          <w:b/>
        </w:rPr>
      </w:pPr>
    </w:p>
    <w:p w:rsidR="00DD1229" w:rsidRPr="004F3630" w:rsidRDefault="00DD1229" w:rsidP="00E76D49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D1229">
        <w:rPr>
          <w:rFonts w:asciiTheme="minorHAnsi" w:hAnsiTheme="minorHAnsi" w:cstheme="minorHAnsi"/>
          <w:color w:val="FF0000"/>
        </w:rPr>
        <w:tab/>
      </w:r>
      <w:r w:rsidRPr="004F3630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890BE2">
        <w:rPr>
          <w:rFonts w:asciiTheme="minorHAnsi" w:hAnsiTheme="minorHAnsi" w:cstheme="minorHAnsi"/>
          <w:sz w:val="22"/>
          <w:szCs w:val="22"/>
        </w:rPr>
        <w:t>21</w:t>
      </w:r>
      <w:r w:rsidRPr="004F3630">
        <w:rPr>
          <w:rFonts w:asciiTheme="minorHAnsi" w:hAnsiTheme="minorHAnsi" w:cstheme="minorHAnsi"/>
          <w:sz w:val="22"/>
          <w:szCs w:val="22"/>
        </w:rPr>
        <w:t xml:space="preserve"> ust. </w:t>
      </w:r>
      <w:r w:rsidR="00890BE2">
        <w:rPr>
          <w:rFonts w:asciiTheme="minorHAnsi" w:hAnsiTheme="minorHAnsi" w:cstheme="minorHAnsi"/>
          <w:sz w:val="22"/>
          <w:szCs w:val="22"/>
        </w:rPr>
        <w:t xml:space="preserve">1 </w:t>
      </w:r>
      <w:r w:rsidRPr="004F3630">
        <w:rPr>
          <w:rFonts w:asciiTheme="minorHAnsi" w:hAnsiTheme="minorHAnsi" w:cstheme="minorHAnsi"/>
          <w:sz w:val="22"/>
          <w:szCs w:val="22"/>
        </w:rPr>
        <w:t>ustawy z dnia 8 marca 1990 r. o samorządzie gminnym (t.</w:t>
      </w:r>
      <w:r w:rsidR="004F3630" w:rsidRPr="004F3630">
        <w:rPr>
          <w:rFonts w:asciiTheme="minorHAnsi" w:hAnsiTheme="minorHAnsi" w:cstheme="minorHAnsi"/>
          <w:sz w:val="22"/>
          <w:szCs w:val="22"/>
        </w:rPr>
        <w:t xml:space="preserve"> </w:t>
      </w:r>
      <w:r w:rsidRPr="004F3630">
        <w:rPr>
          <w:rFonts w:asciiTheme="minorHAnsi" w:hAnsiTheme="minorHAnsi" w:cstheme="minorHAnsi"/>
          <w:sz w:val="22"/>
          <w:szCs w:val="22"/>
        </w:rPr>
        <w:t>j. Dz. U. z 20</w:t>
      </w:r>
      <w:r w:rsidR="004F3630" w:rsidRPr="004F3630">
        <w:rPr>
          <w:rFonts w:asciiTheme="minorHAnsi" w:hAnsiTheme="minorHAnsi" w:cstheme="minorHAnsi"/>
          <w:sz w:val="22"/>
          <w:szCs w:val="22"/>
        </w:rPr>
        <w:t>2</w:t>
      </w:r>
      <w:r w:rsidR="0036724D">
        <w:rPr>
          <w:rFonts w:asciiTheme="minorHAnsi" w:hAnsiTheme="minorHAnsi" w:cstheme="minorHAnsi"/>
          <w:sz w:val="22"/>
          <w:szCs w:val="22"/>
        </w:rPr>
        <w:t>4</w:t>
      </w:r>
      <w:r w:rsidRPr="004F3630">
        <w:rPr>
          <w:rFonts w:asciiTheme="minorHAnsi" w:hAnsiTheme="minorHAnsi" w:cstheme="minorHAnsi"/>
          <w:sz w:val="22"/>
          <w:szCs w:val="22"/>
        </w:rPr>
        <w:t xml:space="preserve"> r. poz. </w:t>
      </w:r>
      <w:r w:rsidR="0036724D">
        <w:rPr>
          <w:rFonts w:asciiTheme="minorHAnsi" w:hAnsiTheme="minorHAnsi" w:cstheme="minorHAnsi"/>
          <w:sz w:val="22"/>
          <w:szCs w:val="22"/>
        </w:rPr>
        <w:t xml:space="preserve">609, </w:t>
      </w:r>
      <w:r w:rsidR="00E55A03">
        <w:rPr>
          <w:rFonts w:asciiTheme="minorHAnsi" w:hAnsiTheme="minorHAnsi" w:cstheme="minorHAnsi"/>
          <w:sz w:val="22"/>
          <w:szCs w:val="22"/>
        </w:rPr>
        <w:t xml:space="preserve">poz. </w:t>
      </w:r>
      <w:r w:rsidR="0036724D">
        <w:rPr>
          <w:rFonts w:asciiTheme="minorHAnsi" w:hAnsiTheme="minorHAnsi" w:cstheme="minorHAnsi"/>
          <w:sz w:val="22"/>
          <w:szCs w:val="22"/>
        </w:rPr>
        <w:t>721</w:t>
      </w:r>
      <w:r w:rsidRPr="004F3630">
        <w:rPr>
          <w:rFonts w:asciiTheme="minorHAnsi" w:hAnsiTheme="minorHAnsi" w:cstheme="minorHAnsi"/>
          <w:sz w:val="22"/>
          <w:szCs w:val="22"/>
        </w:rPr>
        <w:t xml:space="preserve">) oraz </w:t>
      </w:r>
      <w:r w:rsidR="00890BE2">
        <w:rPr>
          <w:rFonts w:asciiTheme="minorHAnsi" w:hAnsiTheme="minorHAnsi" w:cstheme="minorHAnsi"/>
          <w:sz w:val="22"/>
          <w:szCs w:val="22"/>
        </w:rPr>
        <w:t xml:space="preserve">§ 5 ust. 2 Rozporządzenia Ministra Sprawiedliwości z dnia 9 czerwca 2011 r. </w:t>
      </w:r>
      <w:r w:rsidR="0036724D">
        <w:rPr>
          <w:rFonts w:asciiTheme="minorHAnsi" w:hAnsiTheme="minorHAnsi" w:cstheme="minorHAnsi"/>
          <w:sz w:val="22"/>
          <w:szCs w:val="22"/>
        </w:rPr>
        <w:br/>
      </w:r>
      <w:r w:rsidR="00890BE2">
        <w:rPr>
          <w:rFonts w:asciiTheme="minorHAnsi" w:hAnsiTheme="minorHAnsi" w:cstheme="minorHAnsi"/>
          <w:sz w:val="22"/>
          <w:szCs w:val="22"/>
        </w:rPr>
        <w:t xml:space="preserve">w sprawie sposobu postępowania z dokumentami złożonymi radom gmin przy zgłaszaniu kandydatów </w:t>
      </w:r>
      <w:r w:rsidR="0036724D">
        <w:rPr>
          <w:rFonts w:asciiTheme="minorHAnsi" w:hAnsiTheme="minorHAnsi" w:cstheme="minorHAnsi"/>
          <w:sz w:val="22"/>
          <w:szCs w:val="22"/>
        </w:rPr>
        <w:br/>
      </w:r>
      <w:r w:rsidR="00890BE2">
        <w:rPr>
          <w:rFonts w:asciiTheme="minorHAnsi" w:hAnsiTheme="minorHAnsi" w:cstheme="minorHAnsi"/>
          <w:sz w:val="22"/>
          <w:szCs w:val="22"/>
        </w:rPr>
        <w:t>na ławników oraz wzoru karty zgłoszenia (Dz. U. z 2011 r. Nr 121, poz. 693</w:t>
      </w:r>
      <w:r w:rsidR="0036724D">
        <w:rPr>
          <w:rFonts w:asciiTheme="minorHAnsi" w:hAnsiTheme="minorHAnsi" w:cstheme="minorHAnsi"/>
          <w:sz w:val="22"/>
          <w:szCs w:val="22"/>
        </w:rPr>
        <w:t>;</w:t>
      </w:r>
      <w:r w:rsidR="00890BE2">
        <w:rPr>
          <w:rFonts w:asciiTheme="minorHAnsi" w:hAnsiTheme="minorHAnsi" w:cstheme="minorHAnsi"/>
          <w:sz w:val="22"/>
          <w:szCs w:val="22"/>
        </w:rPr>
        <w:t xml:space="preserve"> z 2022 r. poz. 2155) </w:t>
      </w:r>
      <w:r w:rsidRPr="004F3630">
        <w:rPr>
          <w:rFonts w:asciiTheme="minorHAnsi" w:hAnsiTheme="minorHAnsi" w:cstheme="minorHAnsi"/>
          <w:sz w:val="22"/>
          <w:szCs w:val="22"/>
        </w:rPr>
        <w:t>Rada Miejska Tomaszowa Mazowieckiego uchwala, co następuje:</w:t>
      </w:r>
    </w:p>
    <w:p w:rsidR="00DD1229" w:rsidRPr="004F3630" w:rsidRDefault="00DD1229" w:rsidP="00DD122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90BE2" w:rsidRPr="00890BE2" w:rsidRDefault="00890BE2" w:rsidP="00890BE2">
      <w:pPr>
        <w:spacing w:line="360" w:lineRule="auto"/>
        <w:ind w:firstLine="708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90BE2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§ 1. </w:t>
      </w:r>
      <w:r w:rsidRPr="00890BE2">
        <w:rPr>
          <w:rFonts w:asciiTheme="minorHAnsi" w:eastAsia="Calibri" w:hAnsiTheme="minorHAnsi" w:cstheme="minorHAnsi"/>
          <w:sz w:val="22"/>
          <w:szCs w:val="22"/>
          <w:lang w:eastAsia="en-US"/>
        </w:rPr>
        <w:t>1.</w:t>
      </w:r>
      <w:r w:rsidRPr="00890BE2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Pr="00890BE2">
        <w:rPr>
          <w:rFonts w:asciiTheme="minorHAnsi" w:eastAsia="Calibri" w:hAnsiTheme="minorHAnsi" w:cstheme="minorHAnsi"/>
          <w:sz w:val="22"/>
          <w:szCs w:val="22"/>
          <w:lang w:eastAsia="en-US"/>
        </w:rPr>
        <w:t>Powołuje się komisję doraźną Rady Miejskiej Tomaszowa Mazowieckiego zwaną dalej Komisją w składzie:</w:t>
      </w:r>
    </w:p>
    <w:p w:rsidR="00890BE2" w:rsidRPr="00890BE2" w:rsidRDefault="00890BE2" w:rsidP="00890BE2">
      <w:pPr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90BE2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……………………………………………….</w:t>
      </w:r>
    </w:p>
    <w:p w:rsidR="00890BE2" w:rsidRPr="00890BE2" w:rsidRDefault="00890BE2" w:rsidP="00890BE2">
      <w:pPr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90BE2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……………………………………………….</w:t>
      </w:r>
    </w:p>
    <w:p w:rsidR="00890BE2" w:rsidRPr="00890BE2" w:rsidRDefault="00890BE2" w:rsidP="00890BE2">
      <w:pPr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90BE2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……………………………………………….</w:t>
      </w:r>
    </w:p>
    <w:p w:rsidR="00890BE2" w:rsidRPr="00890BE2" w:rsidRDefault="00890BE2" w:rsidP="00890BE2">
      <w:pPr>
        <w:autoSpaceDE w:val="0"/>
        <w:autoSpaceDN w:val="0"/>
        <w:adjustRightInd w:val="0"/>
        <w:spacing w:line="360" w:lineRule="auto"/>
        <w:ind w:firstLine="708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2. Zadaniem Komisji jest dokonanie protokolarnego, fizycznego zniszczenia zgłoszeń kandydatów </w:t>
      </w:r>
      <w:r w:rsidR="002C2986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>na ławników, którzy nie zostali wybrani w wyborach</w:t>
      </w:r>
      <w:r w:rsidR="00AF09B6">
        <w:rPr>
          <w:rFonts w:asciiTheme="minorHAnsi" w:hAnsiTheme="minorHAnsi" w:cstheme="minorHAnsi"/>
          <w:color w:val="000000"/>
          <w:sz w:val="22"/>
          <w:szCs w:val="22"/>
        </w:rPr>
        <w:t xml:space="preserve"> uzupełniających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 na kadencję </w:t>
      </w:r>
      <w:r w:rsidR="002D1D8C">
        <w:rPr>
          <w:rFonts w:asciiTheme="minorHAnsi" w:hAnsiTheme="minorHAnsi" w:cstheme="minorHAnsi"/>
          <w:color w:val="000000"/>
          <w:sz w:val="22"/>
          <w:szCs w:val="22"/>
        </w:rPr>
        <w:t>w latach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 202</w:t>
      </w:r>
      <w:r w:rsidR="002C2986">
        <w:rPr>
          <w:rFonts w:asciiTheme="minorHAnsi" w:hAnsiTheme="minorHAnsi" w:cstheme="minorHAnsi"/>
          <w:color w:val="000000"/>
          <w:sz w:val="22"/>
          <w:szCs w:val="22"/>
        </w:rPr>
        <w:t>4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 – 202</w:t>
      </w:r>
      <w:r w:rsidR="002C2986">
        <w:rPr>
          <w:rFonts w:asciiTheme="minorHAnsi" w:hAnsiTheme="minorHAnsi" w:cstheme="minorHAnsi"/>
          <w:color w:val="000000"/>
          <w:sz w:val="22"/>
          <w:szCs w:val="22"/>
        </w:rPr>
        <w:t>7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2D1D8C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>a które nie zostały odebrane w terminie 60 dni od dnia wyborów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:rsidR="00890BE2" w:rsidRPr="00890BE2" w:rsidRDefault="00890BE2" w:rsidP="00890BE2">
      <w:pPr>
        <w:spacing w:line="360" w:lineRule="auto"/>
        <w:ind w:firstLine="708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90BE2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§ 2. </w:t>
      </w:r>
      <w:r w:rsidRPr="00890BE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Komisja, na posiedzeniu, dokona wyboru ze swego grona, przewodniczącego komisji. </w:t>
      </w:r>
    </w:p>
    <w:p w:rsidR="00890BE2" w:rsidRPr="00890BE2" w:rsidRDefault="00890BE2" w:rsidP="00890BE2">
      <w:pPr>
        <w:spacing w:line="360" w:lineRule="auto"/>
        <w:ind w:firstLine="708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90BE2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§ 3.</w:t>
      </w:r>
      <w:r w:rsidRPr="00890BE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Komisja kończy swoją działalność po przedłożeniu Radzie Miejskiej Tomaszowa Mazowieckiego informacji dotyczącej zniszczenia dokumentacji kandydatów na ławników.</w:t>
      </w:r>
    </w:p>
    <w:p w:rsidR="00890BE2" w:rsidRPr="00890BE2" w:rsidRDefault="00890BE2" w:rsidP="00890BE2">
      <w:pPr>
        <w:spacing w:line="360" w:lineRule="auto"/>
        <w:ind w:firstLine="708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90BE2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§ 4.</w:t>
      </w:r>
      <w:r w:rsidRPr="00890BE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1. Uchwała wchodzi w życie z dniem podjęcia.</w:t>
      </w:r>
    </w:p>
    <w:p w:rsidR="00890BE2" w:rsidRDefault="00890BE2" w:rsidP="00890BE2">
      <w:pPr>
        <w:spacing w:line="360" w:lineRule="auto"/>
        <w:ind w:firstLine="708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90BE2">
        <w:rPr>
          <w:rFonts w:asciiTheme="minorHAnsi" w:eastAsia="Calibri" w:hAnsiTheme="minorHAnsi" w:cstheme="minorHAnsi"/>
          <w:sz w:val="22"/>
          <w:szCs w:val="22"/>
          <w:lang w:eastAsia="en-US"/>
        </w:rPr>
        <w:t>2. Uchwała podlega podaniu do publicznej wiadomości poprzez wywieszenie na tablicy ogłoszeń Urzędu Miasta w Tomaszowie Mazowieckim, a także zamieszczenie jej treści na stronie internetowej</w:t>
      </w:r>
      <w:r w:rsidR="00AF09B6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</w:t>
      </w:r>
      <w:r w:rsidRPr="00890BE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:rsidR="00890BE2" w:rsidRDefault="00890BE2" w:rsidP="00890BE2">
      <w:pPr>
        <w:spacing w:line="360" w:lineRule="auto"/>
        <w:ind w:firstLine="708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890BE2" w:rsidRDefault="00890BE2" w:rsidP="00890BE2">
      <w:pPr>
        <w:spacing w:line="360" w:lineRule="auto"/>
        <w:ind w:firstLine="708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890BE2" w:rsidRPr="00890BE2" w:rsidRDefault="00890BE2" w:rsidP="00890BE2">
      <w:pPr>
        <w:spacing w:line="276" w:lineRule="auto"/>
        <w:jc w:val="both"/>
        <w:rPr>
          <w:rFonts w:asciiTheme="minorHAnsi" w:eastAsia="Calibri" w:hAnsiTheme="minorHAnsi" w:cstheme="minorHAnsi"/>
          <w:i/>
          <w:sz w:val="22"/>
          <w:szCs w:val="22"/>
          <w:lang w:eastAsia="en-US"/>
        </w:rPr>
      </w:pPr>
      <w:r w:rsidRPr="00890BE2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Projekt uchwały sporządziła:</w:t>
      </w:r>
    </w:p>
    <w:p w:rsidR="00890BE2" w:rsidRPr="00890BE2" w:rsidRDefault="00890BE2" w:rsidP="00890BE2">
      <w:pPr>
        <w:spacing w:line="276" w:lineRule="auto"/>
        <w:jc w:val="both"/>
        <w:rPr>
          <w:rFonts w:asciiTheme="minorHAnsi" w:eastAsia="Calibri" w:hAnsiTheme="minorHAnsi" w:cstheme="minorHAnsi"/>
          <w:i/>
          <w:sz w:val="22"/>
          <w:szCs w:val="22"/>
          <w:lang w:eastAsia="en-US"/>
        </w:rPr>
      </w:pPr>
    </w:p>
    <w:p w:rsidR="00890BE2" w:rsidRPr="00890BE2" w:rsidRDefault="00890BE2" w:rsidP="00890BE2">
      <w:pPr>
        <w:spacing w:line="276" w:lineRule="auto"/>
        <w:jc w:val="both"/>
        <w:rPr>
          <w:rFonts w:asciiTheme="minorHAnsi" w:eastAsia="Calibri" w:hAnsiTheme="minorHAnsi" w:cstheme="minorHAnsi"/>
          <w:i/>
          <w:sz w:val="22"/>
          <w:szCs w:val="22"/>
          <w:lang w:eastAsia="en-US"/>
        </w:rPr>
      </w:pPr>
    </w:p>
    <w:p w:rsidR="00890BE2" w:rsidRPr="00890BE2" w:rsidRDefault="00890BE2" w:rsidP="00890BE2">
      <w:pPr>
        <w:spacing w:line="276" w:lineRule="auto"/>
        <w:jc w:val="both"/>
        <w:rPr>
          <w:rFonts w:asciiTheme="minorHAnsi" w:eastAsia="Calibri" w:hAnsiTheme="minorHAnsi" w:cstheme="minorHAnsi"/>
          <w:i/>
          <w:sz w:val="22"/>
          <w:szCs w:val="22"/>
          <w:lang w:eastAsia="en-US"/>
        </w:rPr>
      </w:pPr>
    </w:p>
    <w:p w:rsidR="00890BE2" w:rsidRDefault="00890BE2" w:rsidP="00890BE2">
      <w:pPr>
        <w:spacing w:line="276" w:lineRule="auto"/>
        <w:jc w:val="both"/>
        <w:rPr>
          <w:rFonts w:asciiTheme="minorHAnsi" w:eastAsia="Calibri" w:hAnsiTheme="minorHAnsi" w:cstheme="minorHAnsi"/>
          <w:i/>
          <w:sz w:val="22"/>
          <w:szCs w:val="22"/>
          <w:lang w:eastAsia="en-US"/>
        </w:rPr>
      </w:pPr>
      <w:r w:rsidRPr="00890BE2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Projekt uchwały zaopiniował pod względem prawnym:</w:t>
      </w:r>
    </w:p>
    <w:p w:rsidR="00AF09B6" w:rsidRDefault="00AF09B6" w:rsidP="00890BE2">
      <w:pPr>
        <w:spacing w:line="276" w:lineRule="auto"/>
        <w:jc w:val="both"/>
        <w:rPr>
          <w:rFonts w:asciiTheme="minorHAnsi" w:eastAsia="Calibri" w:hAnsiTheme="minorHAnsi" w:cstheme="minorHAnsi"/>
          <w:i/>
          <w:sz w:val="22"/>
          <w:szCs w:val="22"/>
          <w:lang w:eastAsia="en-US"/>
        </w:rPr>
      </w:pPr>
    </w:p>
    <w:p w:rsidR="00AF09B6" w:rsidRPr="00890BE2" w:rsidRDefault="00AF09B6" w:rsidP="00890BE2">
      <w:pPr>
        <w:spacing w:line="276" w:lineRule="auto"/>
        <w:jc w:val="both"/>
        <w:rPr>
          <w:rFonts w:asciiTheme="minorHAnsi" w:eastAsia="Calibri" w:hAnsiTheme="minorHAnsi" w:cstheme="minorHAnsi"/>
          <w:i/>
          <w:sz w:val="22"/>
          <w:szCs w:val="22"/>
          <w:lang w:eastAsia="en-US"/>
        </w:rPr>
      </w:pPr>
    </w:p>
    <w:p w:rsidR="00890BE2" w:rsidRPr="00AF09B6" w:rsidRDefault="00890BE2" w:rsidP="002C2986">
      <w:pPr>
        <w:spacing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AF09B6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lastRenderedPageBreak/>
        <w:t>Uzasadnienie</w:t>
      </w:r>
    </w:p>
    <w:p w:rsidR="00890BE2" w:rsidRPr="00890BE2" w:rsidRDefault="00890BE2" w:rsidP="00890BE2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890BE2" w:rsidRPr="00890BE2" w:rsidRDefault="00890BE2" w:rsidP="00890BE2">
      <w:pPr>
        <w:autoSpaceDE w:val="0"/>
        <w:autoSpaceDN w:val="0"/>
        <w:adjustRightInd w:val="0"/>
        <w:spacing w:line="360" w:lineRule="auto"/>
        <w:ind w:firstLine="708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90BE2">
        <w:rPr>
          <w:rFonts w:asciiTheme="minorHAnsi" w:hAnsiTheme="minorHAnsi" w:cstheme="minorHAnsi"/>
          <w:sz w:val="22"/>
          <w:szCs w:val="22"/>
        </w:rPr>
        <w:t xml:space="preserve"> Zgodnie z 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zgodnie z § 5 ust. 2 rozporządzenia Ministra Sprawiedliwości z dnia 9 czerwca 2011r. </w:t>
      </w:r>
      <w:r w:rsidR="002C2986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890BE2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w sprawie sposobu postępowania z dokumentami złożonymi radom gmin przy zgłaszaniu kandydatów </w:t>
      </w:r>
      <w:r w:rsidR="002C2986">
        <w:rPr>
          <w:rFonts w:asciiTheme="minorHAnsi" w:hAnsiTheme="minorHAnsi" w:cstheme="minorHAnsi"/>
          <w:i/>
          <w:color w:val="000000"/>
          <w:sz w:val="22"/>
          <w:szCs w:val="22"/>
        </w:rPr>
        <w:br/>
      </w:r>
      <w:r w:rsidRPr="00890BE2">
        <w:rPr>
          <w:rFonts w:asciiTheme="minorHAnsi" w:hAnsiTheme="minorHAnsi" w:cstheme="minorHAnsi"/>
          <w:i/>
          <w:color w:val="000000"/>
          <w:sz w:val="22"/>
          <w:szCs w:val="22"/>
        </w:rPr>
        <w:t>na ławników oraz wzoru karty zgłoszenia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C2986">
        <w:rPr>
          <w:rFonts w:asciiTheme="minorHAnsi" w:hAnsiTheme="minorHAnsi" w:cstheme="minorHAnsi"/>
          <w:sz w:val="22"/>
          <w:szCs w:val="22"/>
        </w:rPr>
        <w:t>(Dz. U. z 2011 r. Nr 121, poz. 693</w:t>
      </w:r>
      <w:r w:rsidR="0036724D">
        <w:rPr>
          <w:rFonts w:asciiTheme="minorHAnsi" w:hAnsiTheme="minorHAnsi" w:cstheme="minorHAnsi"/>
          <w:sz w:val="22"/>
          <w:szCs w:val="22"/>
        </w:rPr>
        <w:t>;</w:t>
      </w:r>
      <w:r w:rsidR="002C2986">
        <w:rPr>
          <w:rFonts w:asciiTheme="minorHAnsi" w:hAnsiTheme="minorHAnsi" w:cstheme="minorHAnsi"/>
          <w:sz w:val="22"/>
          <w:szCs w:val="22"/>
        </w:rPr>
        <w:t xml:space="preserve"> z 2022 r. poz. 2155) 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>rady gmin zobowiązane są do dokonani</w:t>
      </w:r>
      <w:r w:rsidR="002C2986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 protokolarnego, fizycznego zniszczenia zgłoszeń kandydatów na ławników, którzy nie zostali wybrani w wyborach na ławników do sądów powszechnych.</w:t>
      </w:r>
    </w:p>
    <w:p w:rsidR="00890BE2" w:rsidRPr="00890BE2" w:rsidRDefault="00890BE2" w:rsidP="00890BE2">
      <w:pPr>
        <w:autoSpaceDE w:val="0"/>
        <w:autoSpaceDN w:val="0"/>
        <w:adjustRightInd w:val="0"/>
        <w:spacing w:line="360" w:lineRule="auto"/>
        <w:ind w:firstLine="708"/>
        <w:contextualSpacing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W tym celu rada gminy </w:t>
      </w:r>
      <w:r w:rsidRPr="00890BE2">
        <w:rPr>
          <w:rFonts w:asciiTheme="minorHAnsi" w:hAnsiTheme="minorHAnsi" w:cstheme="minorHAnsi"/>
          <w:sz w:val="22"/>
          <w:szCs w:val="22"/>
        </w:rPr>
        <w:t xml:space="preserve">dokonująca wyboru ławników do sądów powszechnych zobowiązana jest </w:t>
      </w:r>
      <w:r w:rsidR="002C2986">
        <w:rPr>
          <w:rFonts w:asciiTheme="minorHAnsi" w:hAnsiTheme="minorHAnsi" w:cstheme="minorHAnsi"/>
          <w:sz w:val="22"/>
          <w:szCs w:val="22"/>
        </w:rPr>
        <w:br/>
      </w:r>
      <w:r w:rsidRPr="00890BE2">
        <w:rPr>
          <w:rFonts w:asciiTheme="minorHAnsi" w:hAnsiTheme="minorHAnsi" w:cstheme="minorHAnsi"/>
          <w:sz w:val="22"/>
          <w:szCs w:val="22"/>
        </w:rPr>
        <w:t>do powołania komisji</w:t>
      </w:r>
      <w:r w:rsidR="002C2986">
        <w:rPr>
          <w:rFonts w:asciiTheme="minorHAnsi" w:hAnsiTheme="minorHAnsi" w:cstheme="minorHAnsi"/>
          <w:sz w:val="22"/>
          <w:szCs w:val="22"/>
        </w:rPr>
        <w:t>,</w:t>
      </w:r>
      <w:r w:rsidRPr="00890BE2">
        <w:rPr>
          <w:rFonts w:asciiTheme="minorHAnsi" w:hAnsiTheme="minorHAnsi" w:cstheme="minorHAnsi"/>
          <w:sz w:val="22"/>
          <w:szCs w:val="22"/>
        </w:rPr>
        <w:t xml:space="preserve"> z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adaniem której jest dokonanie protokolarnego, fizycznego zniszczenia zgłoszeń kandydatów na ławników, którzy nie zostali wybrani w wyborach </w:t>
      </w:r>
      <w:r w:rsidR="00AF09B6">
        <w:rPr>
          <w:rFonts w:asciiTheme="minorHAnsi" w:hAnsiTheme="minorHAnsi" w:cstheme="minorHAnsi"/>
          <w:color w:val="000000"/>
          <w:sz w:val="22"/>
          <w:szCs w:val="22"/>
        </w:rPr>
        <w:t xml:space="preserve">uzupełniających 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na kadencję </w:t>
      </w:r>
      <w:r w:rsidR="002D1D8C">
        <w:rPr>
          <w:rFonts w:asciiTheme="minorHAnsi" w:hAnsiTheme="minorHAnsi" w:cstheme="minorHAnsi"/>
          <w:color w:val="000000"/>
          <w:sz w:val="22"/>
          <w:szCs w:val="22"/>
        </w:rPr>
        <w:t xml:space="preserve">w latach </w:t>
      </w:r>
      <w:bookmarkStart w:id="0" w:name="_GoBack"/>
      <w:bookmarkEnd w:id="0"/>
      <w:r w:rsidR="00AF09B6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>202</w:t>
      </w:r>
      <w:r w:rsidR="002C2986">
        <w:rPr>
          <w:rFonts w:asciiTheme="minorHAnsi" w:hAnsiTheme="minorHAnsi" w:cstheme="minorHAnsi"/>
          <w:color w:val="000000"/>
          <w:sz w:val="22"/>
          <w:szCs w:val="22"/>
        </w:rPr>
        <w:t>4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 – 202</w:t>
      </w:r>
      <w:r w:rsidR="002C2986">
        <w:rPr>
          <w:rFonts w:asciiTheme="minorHAnsi" w:hAnsiTheme="minorHAnsi" w:cstheme="minorHAnsi"/>
          <w:color w:val="000000"/>
          <w:sz w:val="22"/>
          <w:szCs w:val="22"/>
        </w:rPr>
        <w:t>7</w:t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, a które nie zostały odebrane w terminie 60 dni od dnia wyborów. </w:t>
      </w:r>
    </w:p>
    <w:p w:rsidR="00890BE2" w:rsidRPr="00890BE2" w:rsidRDefault="00890BE2" w:rsidP="00890BE2">
      <w:pPr>
        <w:autoSpaceDE w:val="0"/>
        <w:autoSpaceDN w:val="0"/>
        <w:adjustRightInd w:val="0"/>
        <w:spacing w:line="360" w:lineRule="auto"/>
        <w:ind w:firstLine="708"/>
        <w:contextualSpacing/>
        <w:jc w:val="both"/>
        <w:rPr>
          <w:rFonts w:asciiTheme="minorHAnsi" w:hAnsiTheme="minorHAnsi" w:cstheme="minorHAnsi"/>
          <w:i/>
          <w:sz w:val="22"/>
          <w:szCs w:val="22"/>
        </w:rPr>
      </w:pP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W przypadku nieodebrania dokumentów </w:t>
      </w:r>
      <w:proofErr w:type="gramStart"/>
      <w:r w:rsidRPr="00890BE2">
        <w:rPr>
          <w:rFonts w:asciiTheme="minorHAnsi" w:hAnsiTheme="minorHAnsi" w:cstheme="minorHAnsi"/>
          <w:color w:val="000000"/>
          <w:sz w:val="22"/>
          <w:szCs w:val="22"/>
        </w:rPr>
        <w:t>w w</w:t>
      </w:r>
      <w:proofErr w:type="gramEnd"/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/w terminie podlegają one zniszczeniu przez komisję </w:t>
      </w:r>
      <w:r w:rsidR="002C2986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890BE2">
        <w:rPr>
          <w:rFonts w:asciiTheme="minorHAnsi" w:hAnsiTheme="minorHAnsi" w:cstheme="minorHAnsi"/>
          <w:color w:val="000000"/>
          <w:sz w:val="22"/>
          <w:szCs w:val="22"/>
        </w:rPr>
        <w:t xml:space="preserve">w terminie 30 dni po upływie terminu określonego na odbiór zgłoszenia. </w:t>
      </w:r>
    </w:p>
    <w:p w:rsidR="0023211B" w:rsidRPr="00890BE2" w:rsidRDefault="0023211B" w:rsidP="00890BE2">
      <w:pPr>
        <w:pStyle w:val="Tekstpodstawowy"/>
        <w:spacing w:after="0" w:line="360" w:lineRule="auto"/>
        <w:ind w:firstLine="70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23211B" w:rsidRPr="00890BE2" w:rsidSect="00007AE2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835C6"/>
    <w:multiLevelType w:val="hybridMultilevel"/>
    <w:tmpl w:val="339A1F9A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AF61ECB"/>
    <w:multiLevelType w:val="hybridMultilevel"/>
    <w:tmpl w:val="85188990"/>
    <w:lvl w:ilvl="0" w:tplc="00A4D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CC84990"/>
    <w:multiLevelType w:val="hybridMultilevel"/>
    <w:tmpl w:val="85188990"/>
    <w:lvl w:ilvl="0" w:tplc="00A4D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24A7658"/>
    <w:multiLevelType w:val="hybridMultilevel"/>
    <w:tmpl w:val="47028C86"/>
    <w:lvl w:ilvl="0" w:tplc="C95C8D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5A95D90"/>
    <w:multiLevelType w:val="hybridMultilevel"/>
    <w:tmpl w:val="E2988B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D0E752B"/>
    <w:multiLevelType w:val="hybridMultilevel"/>
    <w:tmpl w:val="42C27180"/>
    <w:lvl w:ilvl="0" w:tplc="CD84F5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F53167F"/>
    <w:multiLevelType w:val="hybridMultilevel"/>
    <w:tmpl w:val="ECE4A66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B36A68"/>
    <w:multiLevelType w:val="hybridMultilevel"/>
    <w:tmpl w:val="0F0696DA"/>
    <w:lvl w:ilvl="0" w:tplc="E6DAEE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B36"/>
    <w:rsid w:val="00016CD8"/>
    <w:rsid w:val="00035CD4"/>
    <w:rsid w:val="00173F80"/>
    <w:rsid w:val="00174D21"/>
    <w:rsid w:val="001D7154"/>
    <w:rsid w:val="0023211B"/>
    <w:rsid w:val="00236846"/>
    <w:rsid w:val="002C1060"/>
    <w:rsid w:val="002C2986"/>
    <w:rsid w:val="002D1D8C"/>
    <w:rsid w:val="0036724D"/>
    <w:rsid w:val="003B5076"/>
    <w:rsid w:val="00462B07"/>
    <w:rsid w:val="004B2B08"/>
    <w:rsid w:val="004E09DF"/>
    <w:rsid w:val="004F3630"/>
    <w:rsid w:val="00634AAF"/>
    <w:rsid w:val="00677BBA"/>
    <w:rsid w:val="007A4781"/>
    <w:rsid w:val="007E19F7"/>
    <w:rsid w:val="0080077A"/>
    <w:rsid w:val="0088012B"/>
    <w:rsid w:val="00890BE2"/>
    <w:rsid w:val="008B5021"/>
    <w:rsid w:val="009450CD"/>
    <w:rsid w:val="009959A1"/>
    <w:rsid w:val="009B7438"/>
    <w:rsid w:val="00A91B36"/>
    <w:rsid w:val="00AF09B6"/>
    <w:rsid w:val="00BC7375"/>
    <w:rsid w:val="00C347C8"/>
    <w:rsid w:val="00C56C55"/>
    <w:rsid w:val="00C66BE5"/>
    <w:rsid w:val="00CD521E"/>
    <w:rsid w:val="00DD1229"/>
    <w:rsid w:val="00E1534F"/>
    <w:rsid w:val="00E2193E"/>
    <w:rsid w:val="00E43272"/>
    <w:rsid w:val="00E55A03"/>
    <w:rsid w:val="00E713F8"/>
    <w:rsid w:val="00E76D49"/>
    <w:rsid w:val="00FA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48727"/>
  <w15:chartTrackingRefBased/>
  <w15:docId w15:val="{6BB0E362-7AE8-4995-ABDD-36ADAF39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9DF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DD1229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122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E76D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2321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11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2321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8</cp:revision>
  <cp:lastPrinted>2024-05-21T06:48:00Z</cp:lastPrinted>
  <dcterms:created xsi:type="dcterms:W3CDTF">2023-10-13T07:30:00Z</dcterms:created>
  <dcterms:modified xsi:type="dcterms:W3CDTF">2024-05-21T06:49:00Z</dcterms:modified>
</cp:coreProperties>
</file>