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07" w:rsidRDefault="00E60E74">
      <w:pPr>
        <w:pStyle w:val="Standard"/>
        <w:jc w:val="center"/>
        <w:rPr>
          <w:rFonts w:ascii="Calibri" w:hAnsi="Calibri"/>
          <w:b/>
          <w:bCs/>
          <w:sz w:val="28"/>
          <w:szCs w:val="28"/>
        </w:rPr>
      </w:pPr>
      <w:bookmarkStart w:id="0" w:name="_GoBack"/>
      <w:bookmarkEnd w:id="0"/>
      <w:r>
        <w:rPr>
          <w:rFonts w:ascii="Calibri" w:hAnsi="Calibri"/>
          <w:b/>
          <w:bCs/>
          <w:sz w:val="28"/>
          <w:szCs w:val="28"/>
        </w:rPr>
        <w:t xml:space="preserve"> ZASTRZEŻENIE ALBO COFNIĘCIE ZASTRZEŻENIA NUMERU PESEL</w:t>
      </w:r>
    </w:p>
    <w:p w:rsidR="00CB1C07" w:rsidRDefault="00CB1C07">
      <w:pPr>
        <w:pStyle w:val="Standard"/>
        <w:jc w:val="both"/>
        <w:rPr>
          <w:rFonts w:ascii="Tahoma" w:hAnsi="Tahoma" w:cs="Tahoma"/>
          <w:b/>
          <w:bCs/>
        </w:rPr>
      </w:pPr>
    </w:p>
    <w:p w:rsidR="00CB1C07" w:rsidRDefault="00CB1C07">
      <w:pPr>
        <w:pStyle w:val="Standard"/>
        <w:jc w:val="both"/>
        <w:rPr>
          <w:rFonts w:ascii="Tahoma" w:hAnsi="Tahoma" w:cs="Tahoma"/>
          <w:b/>
          <w:bCs/>
        </w:rPr>
      </w:pP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b/>
          <w:bCs/>
        </w:rPr>
        <w:t>1.</w:t>
      </w:r>
      <w:r>
        <w:rPr>
          <w:rFonts w:ascii="Calibri" w:eastAsia="Tahoma" w:hAnsi="Calibri" w:cs="Tahoma"/>
          <w:b/>
          <w:bCs/>
        </w:rPr>
        <w:t xml:space="preserve"> </w:t>
      </w:r>
      <w:r>
        <w:rPr>
          <w:rFonts w:ascii="Calibri" w:hAnsi="Calibri" w:cs="Tahoma"/>
          <w:b/>
          <w:bCs/>
        </w:rPr>
        <w:t>Miejsce</w:t>
      </w:r>
    </w:p>
    <w:p w:rsidR="00CB1C07" w:rsidRDefault="00CB1C07">
      <w:pPr>
        <w:pStyle w:val="Standard"/>
        <w:jc w:val="both"/>
        <w:rPr>
          <w:rFonts w:ascii="Calibri" w:hAnsi="Calibri" w:cs="Tahoma"/>
        </w:rPr>
      </w:pP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Urząd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Miasta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Tomaszowie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Mazowieckim</w:t>
      </w: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ul.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P.O.W.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10/16</w:t>
      </w: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Centrala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nr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tel.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+48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44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724-23-11,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fax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44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724-43-59</w:t>
      </w:r>
    </w:p>
    <w:p w:rsidR="00CB1C07" w:rsidRDefault="00CB1C07">
      <w:pPr>
        <w:pStyle w:val="Standard"/>
        <w:jc w:val="both"/>
        <w:rPr>
          <w:rFonts w:ascii="Calibri" w:hAnsi="Calibri" w:cs="Tahoma"/>
          <w:sz w:val="22"/>
          <w:szCs w:val="22"/>
        </w:rPr>
      </w:pP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Wydział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Ewidencji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Ludności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i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Działalności Gospodarczej,</w:t>
      </w: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pok.</w:t>
      </w:r>
      <w:r>
        <w:rPr>
          <w:rFonts w:ascii="Calibri" w:eastAsia="Tahoma" w:hAnsi="Calibri" w:cs="Tahoma"/>
          <w:sz w:val="22"/>
          <w:szCs w:val="22"/>
        </w:rPr>
        <w:t xml:space="preserve"> 13, </w:t>
      </w:r>
      <w:r>
        <w:rPr>
          <w:rFonts w:ascii="Calibri" w:hAnsi="Calibri" w:cs="Tahoma"/>
          <w:sz w:val="22"/>
          <w:szCs w:val="22"/>
        </w:rPr>
        <w:t>14,</w:t>
      </w:r>
    </w:p>
    <w:p w:rsidR="00CB1C07" w:rsidRDefault="00E60E74">
      <w:pPr>
        <w:pStyle w:val="Standard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nr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tel.</w:t>
      </w:r>
      <w:r>
        <w:rPr>
          <w:rFonts w:ascii="Calibri" w:eastAsia="Tahom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+48 44 724-23-11 w. 503, 510, 514, 726-25-03, 44 726-25-10, 44 726-25-14</w:t>
      </w:r>
    </w:p>
    <w:p w:rsidR="00CB1C07" w:rsidRDefault="00CB1C07">
      <w:pPr>
        <w:pStyle w:val="Standard"/>
        <w:jc w:val="both"/>
        <w:rPr>
          <w:rFonts w:ascii="Calibri" w:hAnsi="Calibri" w:cs="Tahoma"/>
          <w:sz w:val="22"/>
          <w:szCs w:val="22"/>
        </w:rPr>
      </w:pPr>
    </w:p>
    <w:p w:rsidR="00CB1C07" w:rsidRDefault="00E60E74">
      <w:pPr>
        <w:pStyle w:val="Nagwek1"/>
        <w:rPr>
          <w:rFonts w:hint="eastAsia"/>
        </w:rPr>
      </w:pPr>
      <w:r>
        <w:rPr>
          <w:rFonts w:ascii="Calibri" w:hAnsi="Calibri" w:cs="Tahoma"/>
        </w:rPr>
        <w:t>2.</w:t>
      </w:r>
      <w:r>
        <w:rPr>
          <w:rFonts w:ascii="Calibri" w:eastAsia="Tahoma" w:hAnsi="Calibri" w:cs="Tahoma"/>
        </w:rPr>
        <w:t xml:space="preserve"> </w:t>
      </w:r>
      <w:r>
        <w:rPr>
          <w:rFonts w:ascii="Calibri" w:hAnsi="Calibri" w:cs="Tahoma"/>
        </w:rPr>
        <w:t>Podstawa</w:t>
      </w:r>
      <w:r>
        <w:rPr>
          <w:rFonts w:ascii="Calibri" w:eastAsia="Tahoma" w:hAnsi="Calibri" w:cs="Tahoma"/>
        </w:rPr>
        <w:t xml:space="preserve"> </w:t>
      </w:r>
      <w:r>
        <w:rPr>
          <w:rFonts w:ascii="Calibri" w:hAnsi="Calibri" w:cs="Tahoma"/>
        </w:rPr>
        <w:t>prawna</w:t>
      </w:r>
    </w:p>
    <w:p w:rsidR="00CB1C07" w:rsidRDefault="00CB1C07">
      <w:pPr>
        <w:pStyle w:val="Standard"/>
        <w:rPr>
          <w:rFonts w:ascii="Calibri" w:hAnsi="Calibri"/>
        </w:rPr>
      </w:pPr>
    </w:p>
    <w:p w:rsidR="00CB1C07" w:rsidRDefault="00E60E74">
      <w:pPr>
        <w:pStyle w:val="Standard"/>
        <w:numPr>
          <w:ilvl w:val="0"/>
          <w:numId w:val="2"/>
        </w:numPr>
        <w:shd w:val="clear" w:color="auto" w:fill="FFFFFF"/>
        <w:suppressAutoHyphens w:val="0"/>
        <w:spacing w:after="225"/>
        <w:jc w:val="both"/>
        <w:rPr>
          <w:rFonts w:hint="eastAsia"/>
        </w:rPr>
      </w:pPr>
      <w:r>
        <w:rPr>
          <w:rFonts w:ascii="Calibri" w:hAnsi="Calibri" w:cs="Tahoma"/>
          <w:color w:val="212121"/>
          <w:sz w:val="22"/>
          <w:szCs w:val="22"/>
          <w:lang w:eastAsia="pl-PL"/>
        </w:rPr>
        <w:t>Ustawa z dnia 7 lipca 2023 r. o zmianie niektórych ustaw w celu ograniczania niektórych skut</w:t>
      </w:r>
      <w:r>
        <w:rPr>
          <w:rFonts w:ascii="Calibri" w:hAnsi="Calibri" w:cs="Tahoma"/>
          <w:color w:val="212121"/>
          <w:sz w:val="22"/>
          <w:szCs w:val="22"/>
          <w:lang w:eastAsia="pl-PL"/>
        </w:rPr>
        <w:t>ków kradzieży tożsamości (Dz. U. 2023. 1394)</w:t>
      </w:r>
    </w:p>
    <w:p w:rsidR="00CB1C07" w:rsidRDefault="00E60E74">
      <w:pPr>
        <w:pStyle w:val="Standard"/>
        <w:shd w:val="clear" w:color="auto" w:fill="FFFFFF"/>
        <w:suppressAutoHyphens w:val="0"/>
        <w:spacing w:after="225"/>
        <w:ind w:left="720"/>
        <w:jc w:val="both"/>
        <w:rPr>
          <w:rFonts w:ascii="Calibri" w:hAnsi="Calibri" w:cs="Tahoma"/>
          <w:color w:val="212121"/>
          <w:sz w:val="22"/>
          <w:szCs w:val="22"/>
          <w:lang w:eastAsia="pl-PL"/>
        </w:rPr>
      </w:pPr>
      <w:r>
        <w:rPr>
          <w:rFonts w:ascii="Calibri" w:hAnsi="Calibri" w:cs="Tahoma"/>
          <w:color w:val="212121"/>
          <w:sz w:val="22"/>
          <w:szCs w:val="22"/>
          <w:lang w:eastAsia="pl-PL"/>
        </w:rPr>
        <w:t>Ustawa z dnia 24 września 2010 r. o ewidencji ludności ( Dz. U. 2022.1191 ze zm. )</w:t>
      </w:r>
    </w:p>
    <w:p w:rsidR="00CB1C07" w:rsidRDefault="00E60E74">
      <w:pPr>
        <w:pStyle w:val="Standard"/>
        <w:numPr>
          <w:ilvl w:val="0"/>
          <w:numId w:val="1"/>
        </w:numPr>
        <w:shd w:val="clear" w:color="auto" w:fill="FFFFFF"/>
        <w:suppressAutoHyphens w:val="0"/>
        <w:spacing w:after="225" w:line="360" w:lineRule="auto"/>
        <w:jc w:val="both"/>
        <w:rPr>
          <w:rFonts w:hint="eastAsia"/>
        </w:rPr>
      </w:pPr>
      <w:r>
        <w:rPr>
          <w:rFonts w:ascii="Calibri" w:hAnsi="Calibri"/>
          <w:color w:val="212121"/>
          <w:sz w:val="22"/>
          <w:szCs w:val="22"/>
          <w:lang w:eastAsia="pl-PL"/>
        </w:rPr>
        <w:t xml:space="preserve">Rozporządzenie Ministra Cyfryzacji z dnia 07 listopada 2023 r. w sprawie określenia wzorów i sposobu wypełniania wniosków </w:t>
      </w:r>
      <w:r>
        <w:rPr>
          <w:rFonts w:ascii="Calibri" w:hAnsi="Calibri"/>
          <w:color w:val="212121"/>
          <w:sz w:val="22"/>
          <w:szCs w:val="22"/>
          <w:lang w:eastAsia="pl-PL"/>
        </w:rPr>
        <w:t>stosowanych przy zastrzeganiu albo cofaniu zastrzeżenia numeru PESEL (Dz. U.2023.2485)</w:t>
      </w:r>
    </w:p>
    <w:p w:rsidR="00CB1C07" w:rsidRDefault="00E60E74">
      <w:pPr>
        <w:pStyle w:val="Standard"/>
        <w:shd w:val="clear" w:color="auto" w:fill="FFFFFF"/>
        <w:suppressAutoHyphens w:val="0"/>
        <w:spacing w:after="225"/>
        <w:jc w:val="both"/>
        <w:rPr>
          <w:rFonts w:ascii="Calibri" w:hAnsi="Calibri"/>
          <w:b/>
          <w:bCs/>
          <w:color w:val="212121"/>
          <w:lang w:eastAsia="pl-PL"/>
        </w:rPr>
      </w:pPr>
      <w:r>
        <w:rPr>
          <w:rFonts w:ascii="Calibri" w:hAnsi="Calibri"/>
          <w:b/>
          <w:bCs/>
          <w:color w:val="212121"/>
          <w:lang w:eastAsia="pl-PL"/>
        </w:rPr>
        <w:t>3. Opis sposobu załatwienia sprawy.</w:t>
      </w:r>
    </w:p>
    <w:p w:rsidR="00CB1C07" w:rsidRDefault="00E60E74">
      <w:pPr>
        <w:pStyle w:val="Standard"/>
        <w:numPr>
          <w:ilvl w:val="0"/>
          <w:numId w:val="3"/>
        </w:numPr>
        <w:spacing w:line="360" w:lineRule="auto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t xml:space="preserve">W Rejestrze Zastrzeżeń Numerów PESEL jest odnotowywane zastrzeżenie i cofnięcie zastrzeżenia konkretnego numeru PESEL oraz czas </w:t>
      </w:r>
      <w:r>
        <w:rPr>
          <w:rFonts w:ascii="Calibri" w:hAnsi="Calibri"/>
          <w:sz w:val="22"/>
          <w:szCs w:val="22"/>
        </w:rPr>
        <w:t>dokonania tych czynności. Zastrzeżeniu podlegają numery PESEL osób pełnoletnich – osób z obywatelstwem polskim, jak i cudzoziemców.</w:t>
      </w:r>
    </w:p>
    <w:p w:rsidR="00CB1C07" w:rsidRDefault="00CB1C07">
      <w:pPr>
        <w:pStyle w:val="Standard"/>
        <w:spacing w:line="360" w:lineRule="auto"/>
        <w:jc w:val="both"/>
        <w:rPr>
          <w:rFonts w:hint="eastAsia"/>
          <w:sz w:val="22"/>
          <w:szCs w:val="22"/>
        </w:rPr>
      </w:pPr>
    </w:p>
    <w:p w:rsidR="00CB1C07" w:rsidRDefault="00E60E74">
      <w:pPr>
        <w:pStyle w:val="Standard"/>
        <w:numPr>
          <w:ilvl w:val="0"/>
          <w:numId w:val="4"/>
        </w:numPr>
        <w:spacing w:line="360" w:lineRule="auto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t>Zastrzeżenia numeru PESEL dokonuje się w dowolnym urzędzie gminy:</w:t>
      </w:r>
    </w:p>
    <w:p w:rsidR="00CB1C07" w:rsidRDefault="00E60E74">
      <w:pPr>
        <w:pStyle w:val="Standard"/>
        <w:spacing w:line="360" w:lineRule="auto"/>
        <w:ind w:left="360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b/>
          <w:bCs/>
          <w:sz w:val="22"/>
          <w:szCs w:val="22"/>
        </w:rPr>
        <w:t>osobiście</w:t>
      </w:r>
      <w:r>
        <w:rPr>
          <w:rFonts w:ascii="Calibri" w:hAnsi="Calibri"/>
          <w:sz w:val="22"/>
          <w:szCs w:val="22"/>
        </w:rPr>
        <w:t xml:space="preserve"> – po zweryfikowaniu tożsamości można złożyć w</w:t>
      </w:r>
      <w:r>
        <w:rPr>
          <w:rFonts w:ascii="Calibri" w:hAnsi="Calibri"/>
          <w:sz w:val="22"/>
          <w:szCs w:val="22"/>
        </w:rPr>
        <w:t>niosek o wpisanie w rejestrze zastrzeżenia swojego numeru PESEL lub cofnięcie takiego zastrzeżenia, następnie obywatel otrzymuje potwierdzenie zastrzeżenia lub cofnięcia zastrzeżenia numeru PESEL</w:t>
      </w:r>
    </w:p>
    <w:p w:rsidR="00CB1C07" w:rsidRDefault="00E60E74">
      <w:pPr>
        <w:pStyle w:val="Standard"/>
        <w:spacing w:line="360" w:lineRule="auto"/>
        <w:ind w:left="360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b/>
          <w:bCs/>
          <w:sz w:val="22"/>
          <w:szCs w:val="22"/>
        </w:rPr>
        <w:t>przez pełnomocnika</w:t>
      </w:r>
      <w:r>
        <w:rPr>
          <w:rFonts w:ascii="Calibri" w:hAnsi="Calibri"/>
          <w:sz w:val="22"/>
          <w:szCs w:val="22"/>
        </w:rPr>
        <w:t xml:space="preserve"> – w przypadku niemożności złożenia wnio</w:t>
      </w:r>
      <w:r>
        <w:rPr>
          <w:rFonts w:ascii="Calibri" w:hAnsi="Calibri"/>
          <w:sz w:val="22"/>
          <w:szCs w:val="22"/>
        </w:rPr>
        <w:t>sku spowodowanej chorobą, niepełnosprawnością lub inną niedająca się pokonać przeszkodą, pełnomocnik stawia się osobiście wraz z dokumentem tożsamości i składa pełnomocnictwo szczególne   do dokonania tej czynności</w:t>
      </w:r>
    </w:p>
    <w:p w:rsidR="00CB1C07" w:rsidRDefault="00E60E74">
      <w:pPr>
        <w:pStyle w:val="Standard"/>
        <w:spacing w:line="360" w:lineRule="auto"/>
        <w:ind w:left="360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t xml:space="preserve">- </w:t>
      </w:r>
      <w:r>
        <w:rPr>
          <w:rFonts w:ascii="Calibri" w:hAnsi="Calibri"/>
          <w:b/>
          <w:bCs/>
          <w:sz w:val="22"/>
          <w:szCs w:val="22"/>
        </w:rPr>
        <w:t>opiekun prawny lub kurator</w:t>
      </w:r>
      <w:r>
        <w:rPr>
          <w:rFonts w:ascii="Calibri" w:hAnsi="Calibri"/>
          <w:sz w:val="22"/>
          <w:szCs w:val="22"/>
        </w:rPr>
        <w:t xml:space="preserve"> – w imieniu </w:t>
      </w:r>
      <w:r>
        <w:rPr>
          <w:rFonts w:ascii="Calibri" w:hAnsi="Calibri"/>
          <w:sz w:val="22"/>
          <w:szCs w:val="22"/>
        </w:rPr>
        <w:t>osoby nieposiadającej zdolności do czynności prawnych lub posiadającej ograniczoną zdolność do czynności prawnych, przedkłada orzeczenie sądowe potwierdzające wyznaczenie go opiekunem lub kuratorem oraz dokument tożsamości.</w:t>
      </w:r>
    </w:p>
    <w:p w:rsidR="00CB1C07" w:rsidRDefault="00E60E74">
      <w:pPr>
        <w:pStyle w:val="Standard"/>
        <w:numPr>
          <w:ilvl w:val="0"/>
          <w:numId w:val="5"/>
        </w:numPr>
        <w:spacing w:line="360" w:lineRule="auto"/>
        <w:jc w:val="both"/>
        <w:rPr>
          <w:rFonts w:hint="eastAsia"/>
        </w:rPr>
      </w:pPr>
      <w:r>
        <w:rPr>
          <w:rFonts w:ascii="Calibri" w:hAnsi="Calibri"/>
          <w:b/>
          <w:bCs/>
          <w:sz w:val="22"/>
          <w:szCs w:val="22"/>
        </w:rPr>
        <w:t>Cofnięcia zastrzeżenia numeru PE</w:t>
      </w:r>
      <w:r>
        <w:rPr>
          <w:rFonts w:ascii="Calibri" w:hAnsi="Calibri"/>
          <w:b/>
          <w:bCs/>
          <w:sz w:val="22"/>
          <w:szCs w:val="22"/>
        </w:rPr>
        <w:t>SEL nie można dokonać przez pełnomocnika</w:t>
      </w:r>
      <w:r>
        <w:rPr>
          <w:rFonts w:ascii="Calibri" w:hAnsi="Calibri"/>
          <w:sz w:val="22"/>
          <w:szCs w:val="22"/>
        </w:rPr>
        <w:t>.</w:t>
      </w: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CB1C07" w:rsidRDefault="00E60E74">
      <w:pPr>
        <w:pStyle w:val="Standard"/>
        <w:numPr>
          <w:ilvl w:val="0"/>
          <w:numId w:val="5"/>
        </w:numPr>
        <w:spacing w:line="360" w:lineRule="auto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lastRenderedPageBreak/>
        <w:t>Zastrzeżenie lub cofnięcie zastrzeżenia numeru PESEL można również dokonać za pomocą usługi elektronicznej dostępnej na stronie mobywatel.gov.pl (Aplikacja mobilna m Obywatel - grudzień 2023 roku)</w:t>
      </w: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CB1C07" w:rsidRDefault="00E60E74">
      <w:pPr>
        <w:pStyle w:val="Standard"/>
        <w:numPr>
          <w:ilvl w:val="0"/>
          <w:numId w:val="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przyszłości u</w:t>
      </w:r>
      <w:r>
        <w:rPr>
          <w:rFonts w:ascii="Calibri" w:hAnsi="Calibri"/>
          <w:sz w:val="22"/>
          <w:szCs w:val="22"/>
        </w:rPr>
        <w:t>sługa ta będzie dostępna również w placówkach bankowych oraz na poczcie.</w:t>
      </w: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CB1C07" w:rsidRDefault="00E60E74">
      <w:pPr>
        <w:pStyle w:val="Standard"/>
        <w:numPr>
          <w:ilvl w:val="0"/>
          <w:numId w:val="6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Rejestr Zastrzeżeń Numerów PESEL umożliwia:</w:t>
      </w:r>
    </w:p>
    <w:p w:rsidR="00CB1C07" w:rsidRDefault="00E60E74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 zastrzeżenie numeru PESEL</w:t>
      </w:r>
    </w:p>
    <w:p w:rsidR="00CB1C07" w:rsidRDefault="00E60E74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 cofnięcie zastrzeżenia numeru PESEL</w:t>
      </w:r>
    </w:p>
    <w:p w:rsidR="00CB1C07" w:rsidRDefault="00E60E74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 ustawienie automatycznego zastrzeżenia numeru PESEL</w:t>
      </w:r>
      <w:r>
        <w:rPr>
          <w:rFonts w:ascii="Calibri" w:hAnsi="Calibri"/>
          <w:sz w:val="22"/>
          <w:szCs w:val="22"/>
        </w:rPr>
        <w:tab/>
      </w:r>
    </w:p>
    <w:p w:rsidR="00CB1C07" w:rsidRDefault="00E60E74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 sprawdzenie</w:t>
      </w:r>
      <w:r>
        <w:rPr>
          <w:rFonts w:ascii="Calibri" w:hAnsi="Calibri"/>
          <w:sz w:val="22"/>
          <w:szCs w:val="22"/>
        </w:rPr>
        <w:t xml:space="preserve"> historii weryfikacji numeru PESEL przez instytucje, firmy i osoby prywatne</w:t>
      </w:r>
    </w:p>
    <w:p w:rsidR="00CB1C07" w:rsidRDefault="00E60E74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 podgląd historii zmian statusu</w:t>
      </w: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CB1C07" w:rsidRDefault="00E60E74">
      <w:pPr>
        <w:pStyle w:val="Standard"/>
        <w:numPr>
          <w:ilvl w:val="0"/>
          <w:numId w:val="7"/>
        </w:numPr>
        <w:spacing w:line="360" w:lineRule="auto"/>
        <w:jc w:val="both"/>
        <w:rPr>
          <w:rFonts w:hint="eastAsia"/>
        </w:rPr>
      </w:pPr>
      <w:r>
        <w:rPr>
          <w:rFonts w:ascii="Calibri" w:hAnsi="Calibri"/>
          <w:sz w:val="22"/>
          <w:szCs w:val="22"/>
        </w:rPr>
        <w:t xml:space="preserve">W celu zwiększenia ochrony obywateli </w:t>
      </w:r>
      <w:r>
        <w:rPr>
          <w:rFonts w:ascii="Calibri" w:hAnsi="Calibri"/>
          <w:b/>
          <w:bCs/>
          <w:sz w:val="22"/>
          <w:szCs w:val="22"/>
        </w:rPr>
        <w:t xml:space="preserve">automatycznie zastrzegany jest numer PESEL </w:t>
      </w:r>
      <w:r>
        <w:rPr>
          <w:rFonts w:ascii="Calibri" w:hAnsi="Calibri"/>
          <w:sz w:val="22"/>
          <w:szCs w:val="22"/>
        </w:rPr>
        <w:t>w przypadku:</w:t>
      </w:r>
    </w:p>
    <w:p w:rsidR="00CB1C07" w:rsidRDefault="00E60E74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 rejestracji zgonu osoby w rejestrze PESEL</w:t>
      </w:r>
    </w:p>
    <w:p w:rsidR="00CB1C07" w:rsidRDefault="00E60E74">
      <w:pPr>
        <w:pStyle w:val="Standard"/>
        <w:spacing w:line="276" w:lineRule="auto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-  reje</w:t>
      </w:r>
      <w:r>
        <w:rPr>
          <w:rFonts w:ascii="Calibri" w:hAnsi="Calibri"/>
          <w:b/>
          <w:bCs/>
          <w:sz w:val="22"/>
          <w:szCs w:val="22"/>
        </w:rPr>
        <w:t>stracji unieważnienia aktualnego dowodu osobistego w RDO z powodu utraty lub kradzieży tożsamości</w:t>
      </w:r>
    </w:p>
    <w:p w:rsidR="00CB1C07" w:rsidRDefault="00CB1C07">
      <w:pPr>
        <w:pStyle w:val="Standard"/>
        <w:spacing w:line="276" w:lineRule="auto"/>
        <w:jc w:val="both"/>
        <w:rPr>
          <w:rFonts w:ascii="Calibri" w:hAnsi="Calibri"/>
          <w:b/>
          <w:bCs/>
          <w:sz w:val="22"/>
          <w:szCs w:val="22"/>
        </w:rPr>
      </w:pPr>
    </w:p>
    <w:p w:rsidR="00CB1C07" w:rsidRDefault="00E60E74">
      <w:pPr>
        <w:pStyle w:val="Standard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4. Wymagane dokumenty.</w:t>
      </w:r>
    </w:p>
    <w:p w:rsidR="00CB1C07" w:rsidRDefault="00CB1C07">
      <w:pPr>
        <w:pStyle w:val="Standard"/>
        <w:jc w:val="both"/>
        <w:rPr>
          <w:rFonts w:ascii="Calibri" w:hAnsi="Calibri"/>
          <w:b/>
          <w:bCs/>
        </w:rPr>
      </w:pPr>
    </w:p>
    <w:p w:rsidR="00CB1C07" w:rsidRDefault="00E60E74">
      <w:pPr>
        <w:pStyle w:val="Standard"/>
        <w:numPr>
          <w:ilvl w:val="0"/>
          <w:numId w:val="8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Wniosek o zastrzeżenie albo cofnięcie zastrzeżenia numeru PESEL składany w organie gminy.</w:t>
      </w:r>
    </w:p>
    <w:p w:rsidR="00CB1C07" w:rsidRDefault="00E60E74">
      <w:pPr>
        <w:pStyle w:val="Standard"/>
        <w:numPr>
          <w:ilvl w:val="0"/>
          <w:numId w:val="8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Tożsamość obywatela polskiego potwierdzana </w:t>
      </w:r>
      <w:r>
        <w:rPr>
          <w:rFonts w:ascii="Calibri" w:hAnsi="Calibri"/>
          <w:sz w:val="22"/>
          <w:szCs w:val="22"/>
        </w:rPr>
        <w:t>jest na podstawie ważnego dowodu osobistego               lub ważnego dokumentu paszportowego.</w:t>
      </w:r>
    </w:p>
    <w:p w:rsidR="00CB1C07" w:rsidRDefault="00E60E74">
      <w:pPr>
        <w:pStyle w:val="Standard"/>
        <w:numPr>
          <w:ilvl w:val="0"/>
          <w:numId w:val="8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Tożsamość cudzoziemca potwierdza się na podstawie dokumentu podróży cudzoziemca lub innego dokumentu potwierdzającego tożsamość i obywatelstwo.</w:t>
      </w: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CB1C07" w:rsidRDefault="00E60E74">
      <w:pPr>
        <w:pStyle w:val="Standard"/>
        <w:spacing w:before="57" w:after="57" w:line="360" w:lineRule="auto"/>
        <w:jc w:val="both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5. Opłaty.</w:t>
      </w:r>
    </w:p>
    <w:p w:rsidR="00CB1C07" w:rsidRDefault="00E60E74">
      <w:pPr>
        <w:pStyle w:val="Standard"/>
        <w:numPr>
          <w:ilvl w:val="0"/>
          <w:numId w:val="9"/>
        </w:numPr>
        <w:spacing w:before="57" w:after="57"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Zastrzeżenie oraz cofnięcie zastrzeżenia numeru PESEL jest bezpłatne.</w:t>
      </w:r>
    </w:p>
    <w:p w:rsidR="00CB1C07" w:rsidRDefault="00E60E74">
      <w:pPr>
        <w:pStyle w:val="Standard"/>
        <w:numPr>
          <w:ilvl w:val="0"/>
          <w:numId w:val="9"/>
        </w:numPr>
        <w:spacing w:before="57" w:after="57"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Potwierdzenie zastrzeżenia numeru PESEL oraz cofnięcia zastrzeżenia numeru PESEL wydawane jest bezpłatnie.</w:t>
      </w:r>
    </w:p>
    <w:p w:rsidR="00CB1C07" w:rsidRDefault="00E60E74">
      <w:pPr>
        <w:pStyle w:val="Standard"/>
        <w:numPr>
          <w:ilvl w:val="0"/>
          <w:numId w:val="9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Wydanie powtórnego potwierdzenia zastrzeżenia numeru PESEL oraz cofnięcia </w:t>
      </w:r>
      <w:r>
        <w:rPr>
          <w:rFonts w:ascii="Calibri" w:hAnsi="Calibri"/>
          <w:sz w:val="22"/>
          <w:szCs w:val="22"/>
        </w:rPr>
        <w:t>zastrzeżenia numeru PESEL podlega opłacie skarbowej określonej w ustawie z dnia 16 listopada 2006 r. o opłacie skarbowej (Dz. U. 2023, poz. 2111).</w:t>
      </w:r>
    </w:p>
    <w:p w:rsidR="00CB1C07" w:rsidRDefault="00E60E74">
      <w:pPr>
        <w:pStyle w:val="Textbody"/>
        <w:numPr>
          <w:ilvl w:val="0"/>
          <w:numId w:val="9"/>
        </w:numPr>
        <w:spacing w:line="360" w:lineRule="auto"/>
        <w:jc w:val="both"/>
        <w:rPr>
          <w:rFonts w:hint="eastAsia"/>
        </w:rPr>
      </w:pPr>
      <w:r>
        <w:rPr>
          <w:rFonts w:ascii="Calibri" w:hAnsi="Calibri" w:cs="Tahoma"/>
          <w:sz w:val="22"/>
          <w:szCs w:val="22"/>
        </w:rPr>
        <w:t>Opłatę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skarbową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wysokości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17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zł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należy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wpłacić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kasie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Urzędu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Miasta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w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Tomaszowie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Mazowieckim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lub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na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konto:</w:t>
      </w:r>
      <w:r>
        <w:rPr>
          <w:rFonts w:ascii="Calibri" w:eastAsia="Verdana" w:hAnsi="Calibri" w:cs="Tahoma"/>
          <w:sz w:val="22"/>
          <w:szCs w:val="22"/>
        </w:rPr>
        <w:t xml:space="preserve">  </w:t>
      </w:r>
      <w:r>
        <w:rPr>
          <w:rFonts w:ascii="Calibri" w:hAnsi="Calibri" w:cs="Tahoma"/>
          <w:sz w:val="22"/>
          <w:szCs w:val="22"/>
        </w:rPr>
        <w:t>90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1050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1461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1000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0023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6464</w:t>
      </w:r>
      <w:r>
        <w:rPr>
          <w:rFonts w:ascii="Calibri" w:eastAsia="Verdana" w:hAnsi="Calibri" w:cs="Tahoma"/>
          <w:sz w:val="22"/>
          <w:szCs w:val="22"/>
        </w:rPr>
        <w:t xml:space="preserve"> </w:t>
      </w:r>
      <w:r>
        <w:rPr>
          <w:rFonts w:ascii="Calibri" w:hAnsi="Calibri" w:cs="Tahoma"/>
          <w:sz w:val="22"/>
          <w:szCs w:val="22"/>
        </w:rPr>
        <w:t>4324.</w:t>
      </w:r>
    </w:p>
    <w:p w:rsidR="00CB1C07" w:rsidRDefault="00E60E74">
      <w:pPr>
        <w:pStyle w:val="Textbody"/>
        <w:numPr>
          <w:ilvl w:val="0"/>
          <w:numId w:val="9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Wyjątek – zwolnienie przedmiotowe i podmiotowe wskazane w ustawie o opłacie skarbowej (Dz. U. 2023, poz. 2111 ).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b/>
          <w:bCs/>
        </w:rPr>
      </w:pPr>
      <w:r>
        <w:rPr>
          <w:rFonts w:ascii="Calibri" w:hAnsi="Calibri" w:cs="Tahoma"/>
          <w:b/>
          <w:bCs/>
        </w:rPr>
        <w:t>6. Termin udzielenia odpowiedzi.</w:t>
      </w:r>
    </w:p>
    <w:p w:rsidR="00CB1C07" w:rsidRDefault="00E60E74">
      <w:pPr>
        <w:pStyle w:val="Textbody"/>
        <w:numPr>
          <w:ilvl w:val="0"/>
          <w:numId w:val="10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Rozpatrzenie wniosku o zastrzeżenie lub cofniecie zastrzeżenia numeru </w:t>
      </w:r>
      <w:r>
        <w:rPr>
          <w:rFonts w:ascii="Calibri" w:hAnsi="Calibri" w:cs="Tahoma"/>
          <w:sz w:val="22"/>
          <w:szCs w:val="22"/>
        </w:rPr>
        <w:t>PESEL – niezwłocznie.</w:t>
      </w:r>
    </w:p>
    <w:p w:rsidR="00CB1C07" w:rsidRDefault="00E60E74">
      <w:pPr>
        <w:pStyle w:val="Textbody"/>
        <w:numPr>
          <w:ilvl w:val="0"/>
          <w:numId w:val="10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Wydanie potwierdzenia zastrzeżenia lub cofnięcia zastrzeżenia numeru PESEL – niezwłocznie po dokonaniu czynności w Rejestrze Zastrzeżeń Numerów PESEL.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b/>
          <w:bCs/>
        </w:rPr>
      </w:pPr>
      <w:r>
        <w:rPr>
          <w:rFonts w:ascii="Calibri" w:hAnsi="Calibri" w:cs="Tahoma"/>
          <w:b/>
          <w:bCs/>
        </w:rPr>
        <w:t>7. Jednostka odpowiedzialna.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Wydział Ewidencji Ludności i Działalności Gospodarczej</w:t>
      </w:r>
      <w:r>
        <w:rPr>
          <w:rFonts w:ascii="Calibri" w:hAnsi="Calibri" w:cs="Tahoma"/>
          <w:sz w:val="22"/>
          <w:szCs w:val="22"/>
        </w:rPr>
        <w:t>, pok. 13, 14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b/>
          <w:bCs/>
        </w:rPr>
      </w:pPr>
      <w:r>
        <w:rPr>
          <w:rFonts w:ascii="Calibri" w:hAnsi="Calibri" w:cs="Tahoma"/>
          <w:b/>
          <w:bCs/>
        </w:rPr>
        <w:t>8. Tryb odwoławczy.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Nie dotyczy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b/>
          <w:bCs/>
        </w:rPr>
      </w:pPr>
      <w:r>
        <w:rPr>
          <w:rFonts w:ascii="Calibri" w:hAnsi="Calibri" w:cs="Tahoma"/>
          <w:b/>
          <w:bCs/>
        </w:rPr>
        <w:t>9. Załączniki.</w:t>
      </w:r>
    </w:p>
    <w:p w:rsidR="00CB1C07" w:rsidRDefault="00E60E74">
      <w:pPr>
        <w:pStyle w:val="Textbody"/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Wniosek o zastrzeżenie albo cofnięcie zastrzeżenia numeru PESEL składany w organie gminy</w:t>
      </w: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b/>
          <w:bCs/>
        </w:rPr>
      </w:pP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b/>
          <w:bCs/>
          <w:sz w:val="22"/>
          <w:szCs w:val="22"/>
        </w:rPr>
      </w:pPr>
    </w:p>
    <w:p w:rsidR="00CB1C07" w:rsidRDefault="00CB1C0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sectPr w:rsidR="00CB1C0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E74" w:rsidRDefault="00E60E74">
      <w:pPr>
        <w:rPr>
          <w:rFonts w:hint="eastAsia"/>
        </w:rPr>
      </w:pPr>
      <w:r>
        <w:separator/>
      </w:r>
    </w:p>
  </w:endnote>
  <w:endnote w:type="continuationSeparator" w:id="0">
    <w:p w:rsidR="00E60E74" w:rsidRDefault="00E60E7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E74" w:rsidRDefault="00E60E7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60E74" w:rsidRDefault="00E60E7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5F9"/>
    <w:multiLevelType w:val="multilevel"/>
    <w:tmpl w:val="6AD01184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3EC32EC"/>
    <w:multiLevelType w:val="multilevel"/>
    <w:tmpl w:val="99002D8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E84908"/>
    <w:multiLevelType w:val="multilevel"/>
    <w:tmpl w:val="D2BACB9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17346B9"/>
    <w:multiLevelType w:val="multilevel"/>
    <w:tmpl w:val="E06AF3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CD8589E"/>
    <w:multiLevelType w:val="multilevel"/>
    <w:tmpl w:val="F9DAD30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4B70494D"/>
    <w:multiLevelType w:val="multilevel"/>
    <w:tmpl w:val="9628E0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0115F96"/>
    <w:multiLevelType w:val="multilevel"/>
    <w:tmpl w:val="80B6295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36D4D8C"/>
    <w:multiLevelType w:val="multilevel"/>
    <w:tmpl w:val="854074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7F332C0"/>
    <w:multiLevelType w:val="multilevel"/>
    <w:tmpl w:val="4ACE2DE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/>
  </w:num>
  <w:num w:numId="3">
    <w:abstractNumId w:val="1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B1C07"/>
    <w:rsid w:val="00BE2DDB"/>
    <w:rsid w:val="00CB1C07"/>
    <w:rsid w:val="00E6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FD669-A8B1-47C8-ABF8-1373B4C49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pPr>
      <w:keepNext/>
      <w:tabs>
        <w:tab w:val="left" w:pos="432"/>
      </w:tabs>
      <w:ind w:left="432" w:hanging="432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84">
    <w:name w:val="ListLabel 84"/>
    <w:rPr>
      <w:sz w:val="20"/>
    </w:rPr>
  </w:style>
  <w:style w:type="character" w:customStyle="1" w:styleId="ListLabel85">
    <w:name w:val="ListLabel 85"/>
    <w:rPr>
      <w:sz w:val="20"/>
    </w:rPr>
  </w:style>
  <w:style w:type="character" w:customStyle="1" w:styleId="ListLabel86">
    <w:name w:val="ListLabel 86"/>
    <w:rPr>
      <w:sz w:val="20"/>
    </w:rPr>
  </w:style>
  <w:style w:type="character" w:customStyle="1" w:styleId="ListLabel87">
    <w:name w:val="ListLabel 87"/>
    <w:rPr>
      <w:sz w:val="20"/>
    </w:rPr>
  </w:style>
  <w:style w:type="character" w:customStyle="1" w:styleId="ListLabel88">
    <w:name w:val="ListLabel 88"/>
    <w:rPr>
      <w:sz w:val="20"/>
    </w:rPr>
  </w:style>
  <w:style w:type="character" w:customStyle="1" w:styleId="ListLabel89">
    <w:name w:val="ListLabel 89"/>
    <w:rPr>
      <w:sz w:val="20"/>
    </w:rPr>
  </w:style>
  <w:style w:type="character" w:customStyle="1" w:styleId="ListLabel90">
    <w:name w:val="ListLabel 90"/>
    <w:rPr>
      <w:sz w:val="20"/>
    </w:rPr>
  </w:style>
  <w:style w:type="character" w:customStyle="1" w:styleId="ListLabel91">
    <w:name w:val="ListLabel 91"/>
    <w:rPr>
      <w:sz w:val="20"/>
    </w:rPr>
  </w:style>
  <w:style w:type="character" w:customStyle="1" w:styleId="ListLabel92">
    <w:name w:val="ListLabel 92"/>
    <w:rPr>
      <w:sz w:val="20"/>
    </w:rPr>
  </w:style>
  <w:style w:type="numbering" w:customStyle="1" w:styleId="WWNum12">
    <w:name w:val="WWNum1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Gamrot</dc:creator>
  <cp:lastModifiedBy>Beata Gamrot</cp:lastModifiedBy>
  <cp:revision>2</cp:revision>
  <cp:lastPrinted>2023-11-21T10:27:00Z</cp:lastPrinted>
  <dcterms:created xsi:type="dcterms:W3CDTF">2023-11-30T07:15:00Z</dcterms:created>
  <dcterms:modified xsi:type="dcterms:W3CDTF">2023-11-30T07:15:00Z</dcterms:modified>
</cp:coreProperties>
</file>