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14E45" w14:textId="549A809F" w:rsidR="005A079A" w:rsidRPr="005A079A" w:rsidRDefault="005A079A" w:rsidP="005A079A">
      <w:pPr>
        <w:spacing w:after="0" w:line="276" w:lineRule="auto"/>
        <w:jc w:val="right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bookmarkStart w:id="0" w:name="_Hlk66876433"/>
      <w:r w:rsidRPr="005A079A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PRO</w:t>
      </w:r>
      <w:r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J</w:t>
      </w:r>
      <w:r w:rsidRPr="005A079A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EKT</w:t>
      </w:r>
    </w:p>
    <w:p w14:paraId="38510D53" w14:textId="77777777" w:rsidR="005A079A" w:rsidRDefault="005A079A" w:rsidP="00DF7220">
      <w:pPr>
        <w:spacing w:after="0" w:line="276" w:lineRule="auto"/>
        <w:jc w:val="center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3B4C349F" w14:textId="6754B92E" w:rsidR="00A33E0D" w:rsidRDefault="00A33E0D" w:rsidP="00DF7220">
      <w:pPr>
        <w:spacing w:after="0" w:line="276" w:lineRule="auto"/>
        <w:jc w:val="center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Uchwała nr </w:t>
      </w:r>
      <w:r w:rsidR="00FF1702">
        <w:rPr>
          <w:rFonts w:asciiTheme="majorHAnsi" w:eastAsia="Times New Roman" w:hAnsiTheme="majorHAnsi" w:cstheme="majorHAnsi"/>
          <w:sz w:val="24"/>
          <w:szCs w:val="24"/>
          <w:lang w:eastAsia="pl-PL"/>
        </w:rPr>
        <w:t>……</w:t>
      </w: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/</w:t>
      </w:r>
      <w:r w:rsidR="00FF1702">
        <w:rPr>
          <w:rFonts w:asciiTheme="majorHAnsi" w:eastAsia="Times New Roman" w:hAnsiTheme="majorHAnsi" w:cstheme="majorHAnsi"/>
          <w:sz w:val="24"/>
          <w:szCs w:val="24"/>
          <w:lang w:eastAsia="pl-PL"/>
        </w:rPr>
        <w:t>…….</w:t>
      </w: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/202</w:t>
      </w:r>
      <w:r w:rsidR="00FF1702">
        <w:rPr>
          <w:rFonts w:asciiTheme="majorHAnsi" w:eastAsia="Times New Roman" w:hAnsiTheme="majorHAnsi" w:cstheme="majorHAnsi"/>
          <w:sz w:val="24"/>
          <w:szCs w:val="24"/>
          <w:lang w:eastAsia="pl-PL"/>
        </w:rPr>
        <w:t>3</w:t>
      </w:r>
    </w:p>
    <w:p w14:paraId="507AF3B2" w14:textId="77777777" w:rsidR="00A33E0D" w:rsidRDefault="00A33E0D" w:rsidP="00DF7220">
      <w:pPr>
        <w:spacing w:after="0" w:line="276" w:lineRule="auto"/>
        <w:jc w:val="center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Rady Miejskiej Tomaszowa Mazowieckiego</w:t>
      </w:r>
    </w:p>
    <w:p w14:paraId="5D0D986B" w14:textId="06279060" w:rsidR="002C33D9" w:rsidRPr="002C33D9" w:rsidRDefault="00A33E0D" w:rsidP="00DF7220">
      <w:pPr>
        <w:spacing w:after="0" w:line="276" w:lineRule="auto"/>
        <w:jc w:val="center"/>
        <w:rPr>
          <w:rFonts w:asciiTheme="majorHAnsi" w:eastAsia="Times New Roman" w:hAnsiTheme="majorHAnsi" w:cstheme="majorHAnsi"/>
          <w:color w:val="0000FF"/>
          <w:sz w:val="24"/>
          <w:szCs w:val="24"/>
          <w:u w:val="single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z dnia</w:t>
      </w:r>
      <w:r w:rsidR="00FF17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="002C33D9"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fldChar w:fldCharType="begin"/>
      </w:r>
      <w:r w:rsidR="002C33D9"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instrText xml:space="preserve"> HYPERLINK "file:///C:\\Users\\APRZYB~1\\AppData\\Local\\Temp\\akt.pdf" \l "page=3" \o "3. strona" </w:instrText>
      </w:r>
      <w:r w:rsidR="002C33D9"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</w:r>
      <w:r w:rsidR="002C33D9"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fldChar w:fldCharType="separate"/>
      </w:r>
      <w:r w:rsidR="00FF1702">
        <w:rPr>
          <w:rFonts w:asciiTheme="majorHAnsi" w:eastAsia="Times New Roman" w:hAnsiTheme="majorHAnsi" w:cstheme="majorHAnsi"/>
          <w:sz w:val="24"/>
          <w:szCs w:val="24"/>
          <w:lang w:eastAsia="pl-PL"/>
        </w:rPr>
        <w:t>…………………….……</w:t>
      </w: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202</w:t>
      </w:r>
      <w:r w:rsidR="00FF1702">
        <w:rPr>
          <w:rFonts w:asciiTheme="majorHAnsi" w:eastAsia="Times New Roman" w:hAnsiTheme="majorHAnsi" w:cstheme="majorHAnsi"/>
          <w:sz w:val="24"/>
          <w:szCs w:val="24"/>
          <w:lang w:eastAsia="pl-PL"/>
        </w:rPr>
        <w:t>3</w:t>
      </w: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roku</w:t>
      </w:r>
    </w:p>
    <w:p w14:paraId="6D9D34C8" w14:textId="77777777" w:rsidR="002C33D9" w:rsidRPr="002C33D9" w:rsidRDefault="002C33D9" w:rsidP="00DF7220">
      <w:pPr>
        <w:spacing w:after="0" w:line="276" w:lineRule="auto"/>
        <w:jc w:val="center"/>
        <w:rPr>
          <w:rFonts w:asciiTheme="majorHAnsi" w:eastAsia="Times New Roman" w:hAnsiTheme="majorHAnsi" w:cstheme="majorHAnsi"/>
          <w:color w:val="0000FF"/>
          <w:sz w:val="24"/>
          <w:szCs w:val="24"/>
          <w:u w:val="single"/>
          <w:lang w:eastAsia="pl-PL"/>
        </w:rPr>
      </w:pP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fldChar w:fldCharType="end"/>
      </w: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fldChar w:fldCharType="begin"/>
      </w: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instrText xml:space="preserve"> HYPERLINK "file:///C:\\Users\\APRZYB~1\\AppData\\Local\\Temp\\akt.pdf" \l "page=4" \o "4. strona" </w:instrText>
      </w: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</w: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fldChar w:fldCharType="separate"/>
      </w:r>
    </w:p>
    <w:p w14:paraId="4BD92552" w14:textId="2B83886E" w:rsidR="00FF6CC8" w:rsidRPr="00FF6CC8" w:rsidRDefault="002C33D9" w:rsidP="00A33E0D">
      <w:pPr>
        <w:spacing w:after="0" w:line="276" w:lineRule="auto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fldChar w:fldCharType="end"/>
      </w:r>
      <w:r w:rsidRPr="00FF6CC8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w sprawie </w:t>
      </w:r>
      <w:r w:rsidR="00FF1702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przyjęcia</w:t>
      </w:r>
      <w:r w:rsidRPr="00FF6CC8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 </w:t>
      </w:r>
      <w:bookmarkStart w:id="1" w:name="_Hlk127523134"/>
      <w:r w:rsidRPr="00FF6CC8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Strategii </w:t>
      </w:r>
      <w:r w:rsidR="00FF1702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R</w:t>
      </w:r>
      <w:r w:rsidR="00FF6CC8" w:rsidRPr="00FF6CC8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ozwoju </w:t>
      </w:r>
      <w:r w:rsidR="006D0E51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i Promocji Przemysłów Czasu Wolnego dla </w:t>
      </w:r>
      <w:r w:rsidR="00FF1702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M</w:t>
      </w:r>
      <w:r w:rsidR="00FF6CC8" w:rsidRPr="00FF6CC8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iasta Tomaszowa Mazowieckiego </w:t>
      </w:r>
      <w:r w:rsidR="006D0E51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oraz Gminy Tomaszów Mazowiecki</w:t>
      </w:r>
      <w:bookmarkEnd w:id="1"/>
    </w:p>
    <w:p w14:paraId="26C09C3E" w14:textId="77777777" w:rsidR="00FF6CC8" w:rsidRDefault="00FF6CC8" w:rsidP="00A33E0D">
      <w:pPr>
        <w:spacing w:after="0" w:line="276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0158BD2C" w14:textId="7A6B93C5" w:rsidR="00FF6CC8" w:rsidRDefault="002C33D9" w:rsidP="00FF1702">
      <w:pPr>
        <w:spacing w:after="0" w:line="276" w:lineRule="auto"/>
        <w:ind w:firstLine="708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Na podstawie art. </w:t>
      </w:r>
      <w:r w:rsidR="00F539D8" w:rsidRPr="00F539D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art. 7 ust. 1 pkt </w:t>
      </w:r>
      <w:r w:rsidR="00F539D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9, </w:t>
      </w:r>
      <w:r w:rsidR="00F539D8" w:rsidRPr="00F539D8">
        <w:rPr>
          <w:rFonts w:asciiTheme="majorHAnsi" w:eastAsia="Times New Roman" w:hAnsiTheme="majorHAnsi" w:cstheme="majorHAnsi"/>
          <w:sz w:val="24"/>
          <w:szCs w:val="24"/>
          <w:lang w:eastAsia="pl-PL"/>
        </w:rPr>
        <w:t>10</w:t>
      </w:r>
      <w:r w:rsidR="00F539D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, 17 i 18 oraz </w:t>
      </w:r>
      <w:r w:rsidR="00F539D8" w:rsidRPr="00F539D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art. 18 ust. 2 pkt </w:t>
      </w:r>
      <w:r w:rsidR="00700789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6 </w:t>
      </w:r>
      <w:r w:rsidR="00F539D8" w:rsidRPr="00F539D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ustawy z dnia </w:t>
      </w:r>
      <w:r w:rsidR="00700789">
        <w:rPr>
          <w:rFonts w:asciiTheme="majorHAnsi" w:eastAsia="Times New Roman" w:hAnsiTheme="majorHAnsi" w:cstheme="majorHAnsi"/>
          <w:sz w:val="24"/>
          <w:szCs w:val="24"/>
          <w:lang w:eastAsia="pl-PL"/>
        </w:rPr>
        <w:br/>
      </w:r>
      <w:r w:rsidR="00F539D8" w:rsidRPr="00F539D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8 marca 1990 roku o samorządzie gminnym </w:t>
      </w: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t>(</w:t>
      </w:r>
      <w:proofErr w:type="spellStart"/>
      <w:r w:rsidR="00FF6CC8">
        <w:rPr>
          <w:rFonts w:asciiTheme="majorHAnsi" w:eastAsia="Times New Roman" w:hAnsiTheme="majorHAnsi" w:cstheme="majorHAnsi"/>
          <w:sz w:val="24"/>
          <w:szCs w:val="24"/>
          <w:lang w:eastAsia="pl-PL"/>
        </w:rPr>
        <w:t>t.j</w:t>
      </w:r>
      <w:proofErr w:type="spellEnd"/>
      <w:r w:rsidR="00FF6CC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. </w:t>
      </w: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t>Dz.U. z 202</w:t>
      </w:r>
      <w:r w:rsidR="00FF1702">
        <w:rPr>
          <w:rFonts w:asciiTheme="majorHAnsi" w:eastAsia="Times New Roman" w:hAnsiTheme="majorHAnsi" w:cstheme="majorHAnsi"/>
          <w:sz w:val="24"/>
          <w:szCs w:val="24"/>
          <w:lang w:eastAsia="pl-PL"/>
        </w:rPr>
        <w:t>3</w:t>
      </w: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r. poz. </w:t>
      </w:r>
      <w:r w:rsidR="00FF1702">
        <w:rPr>
          <w:rFonts w:asciiTheme="majorHAnsi" w:eastAsia="Times New Roman" w:hAnsiTheme="majorHAnsi" w:cstheme="majorHAnsi"/>
          <w:sz w:val="24"/>
          <w:szCs w:val="24"/>
          <w:lang w:eastAsia="pl-PL"/>
        </w:rPr>
        <w:t>40</w:t>
      </w:r>
      <w:r w:rsidR="003845A0">
        <w:rPr>
          <w:rFonts w:asciiTheme="majorHAnsi" w:eastAsia="Times New Roman" w:hAnsiTheme="majorHAnsi" w:cstheme="majorHAnsi"/>
          <w:sz w:val="24"/>
          <w:szCs w:val="24"/>
          <w:lang w:eastAsia="pl-PL"/>
        </w:rPr>
        <w:t>, poz. 572</w:t>
      </w: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t>)</w:t>
      </w:r>
      <w:r w:rsidR="00FF1702">
        <w:rPr>
          <w:rFonts w:asciiTheme="majorHAnsi" w:eastAsia="Times New Roman" w:hAnsiTheme="majorHAnsi" w:cstheme="majorHAnsi"/>
          <w:sz w:val="24"/>
          <w:szCs w:val="24"/>
          <w:lang w:eastAsia="pl-PL"/>
        </w:rPr>
        <w:t>,</w:t>
      </w:r>
      <w:r w:rsidR="00FF6CC8">
        <w:rPr>
          <w:rFonts w:ascii="Calibri Light" w:hAnsi="Calibri Light" w:cs="Calibri Light"/>
          <w:sz w:val="24"/>
          <w:szCs w:val="24"/>
        </w:rPr>
        <w:t xml:space="preserve"> </w:t>
      </w: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uchwala się, </w:t>
      </w:r>
      <w:r w:rsidR="00700789">
        <w:rPr>
          <w:rFonts w:asciiTheme="majorHAnsi" w:eastAsia="Times New Roman" w:hAnsiTheme="majorHAnsi" w:cstheme="majorHAnsi"/>
          <w:sz w:val="24"/>
          <w:szCs w:val="24"/>
          <w:lang w:eastAsia="pl-PL"/>
        </w:rPr>
        <w:br/>
      </w: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t>co następuje:</w:t>
      </w:r>
      <w:r w:rsidR="00FF6CC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</w:p>
    <w:p w14:paraId="6183FB0B" w14:textId="77777777" w:rsidR="00FF6CC8" w:rsidRDefault="00FF6CC8" w:rsidP="00FF6CC8">
      <w:pPr>
        <w:spacing w:after="0" w:line="276" w:lineRule="auto"/>
        <w:ind w:firstLine="708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23B800E3" w14:textId="326CC48D" w:rsidR="00E6092C" w:rsidRDefault="002C33D9" w:rsidP="00FF1702">
      <w:pPr>
        <w:spacing w:after="0" w:line="276" w:lineRule="auto"/>
        <w:ind w:firstLine="708"/>
        <w:jc w:val="both"/>
        <w:rPr>
          <w:rFonts w:ascii="Calibri Light" w:hAnsi="Calibri Light" w:cs="Calibri Light"/>
          <w:sz w:val="24"/>
          <w:szCs w:val="24"/>
        </w:rPr>
      </w:pP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§ 1. </w:t>
      </w:r>
      <w:r w:rsidR="00FF17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Przyjmuje się </w:t>
      </w:r>
      <w:r w:rsidR="006D0E51" w:rsidRPr="006D0E51">
        <w:rPr>
          <w:rFonts w:asciiTheme="majorHAnsi" w:eastAsia="Times New Roman" w:hAnsiTheme="majorHAnsi" w:cstheme="majorHAnsi"/>
          <w:sz w:val="24"/>
          <w:szCs w:val="24"/>
          <w:lang w:eastAsia="pl-PL"/>
        </w:rPr>
        <w:t>Strategi</w:t>
      </w:r>
      <w:r w:rsidR="006D0E51">
        <w:rPr>
          <w:rFonts w:asciiTheme="majorHAnsi" w:eastAsia="Times New Roman" w:hAnsiTheme="majorHAnsi" w:cstheme="majorHAnsi"/>
          <w:sz w:val="24"/>
          <w:szCs w:val="24"/>
          <w:lang w:eastAsia="pl-PL"/>
        </w:rPr>
        <w:t>ę</w:t>
      </w:r>
      <w:r w:rsidR="006D0E51" w:rsidRPr="006D0E51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Rozwoju i Promocji Przemysłów Czasu Wolnego dla Miasta Tomaszowa Mazowieckiego oraz Gminy Tomaszów Mazowiecki</w:t>
      </w:r>
      <w:r w:rsidR="006D0E51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="00FF17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w brzmieniu określonym </w:t>
      </w:r>
      <w:r w:rsidR="006D0E51">
        <w:rPr>
          <w:rFonts w:asciiTheme="majorHAnsi" w:eastAsia="Times New Roman" w:hAnsiTheme="majorHAnsi" w:cstheme="majorHAnsi"/>
          <w:sz w:val="24"/>
          <w:szCs w:val="24"/>
          <w:lang w:eastAsia="pl-PL"/>
        </w:rPr>
        <w:br/>
      </w:r>
      <w:r w:rsidR="00FF170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w załączniku do niniejszej uchwały. </w:t>
      </w:r>
    </w:p>
    <w:p w14:paraId="540D80DF" w14:textId="77777777" w:rsidR="00E6092C" w:rsidRDefault="00E6092C" w:rsidP="00E6092C">
      <w:pPr>
        <w:spacing w:after="0" w:line="276" w:lineRule="auto"/>
        <w:ind w:firstLine="708"/>
        <w:jc w:val="both"/>
        <w:rPr>
          <w:rFonts w:ascii="Calibri Light" w:hAnsi="Calibri Light" w:cs="Calibri Light"/>
          <w:sz w:val="24"/>
          <w:szCs w:val="24"/>
        </w:rPr>
      </w:pPr>
    </w:p>
    <w:p w14:paraId="65288691" w14:textId="0D0F0E01" w:rsidR="00E6092C" w:rsidRDefault="00E6092C" w:rsidP="00E6092C">
      <w:pPr>
        <w:spacing w:after="0" w:line="276" w:lineRule="auto"/>
        <w:ind w:firstLine="708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="002C33D9"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§ </w:t>
      </w:r>
      <w:r w:rsidR="005A079A">
        <w:rPr>
          <w:rFonts w:asciiTheme="majorHAnsi" w:eastAsia="Times New Roman" w:hAnsiTheme="majorHAnsi" w:cstheme="majorHAnsi"/>
          <w:sz w:val="24"/>
          <w:szCs w:val="24"/>
          <w:lang w:eastAsia="pl-PL"/>
        </w:rPr>
        <w:t>2</w:t>
      </w:r>
      <w:r w:rsidR="002C33D9"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. </w:t>
      </w: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Wykonanie uchwały powierza się Prezydentowi Miasta Tomaszowa Mazowieckiego. </w:t>
      </w:r>
    </w:p>
    <w:p w14:paraId="3046F999" w14:textId="77777777" w:rsidR="00E6092C" w:rsidRDefault="00E6092C" w:rsidP="00E6092C">
      <w:pPr>
        <w:spacing w:after="0" w:line="276" w:lineRule="auto"/>
        <w:ind w:firstLine="708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4D4F1741" w14:textId="546F5D85" w:rsidR="00E6092C" w:rsidRPr="005A079A" w:rsidRDefault="00E6092C" w:rsidP="00E6092C">
      <w:pPr>
        <w:spacing w:after="0" w:line="276" w:lineRule="auto"/>
        <w:ind w:firstLine="708"/>
        <w:jc w:val="both"/>
        <w:rPr>
          <w:rFonts w:asciiTheme="majorHAnsi" w:eastAsia="Times New Roman" w:hAnsiTheme="majorHAnsi" w:cstheme="majorHAnsi"/>
          <w:color w:val="00B0F0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§ </w:t>
      </w:r>
      <w:r w:rsidR="005A079A">
        <w:rPr>
          <w:rFonts w:asciiTheme="majorHAnsi" w:eastAsia="Times New Roman" w:hAnsiTheme="majorHAnsi" w:cstheme="majorHAnsi"/>
          <w:sz w:val="24"/>
          <w:szCs w:val="24"/>
          <w:lang w:eastAsia="pl-PL"/>
        </w:rPr>
        <w:t>3</w:t>
      </w: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. </w:t>
      </w:r>
      <w:r w:rsidR="005A079A" w:rsidRPr="00B36F03">
        <w:rPr>
          <w:rFonts w:asciiTheme="majorHAnsi" w:eastAsia="Times New Roman" w:hAnsiTheme="majorHAnsi" w:cstheme="majorHAnsi"/>
          <w:sz w:val="24"/>
          <w:szCs w:val="24"/>
          <w:lang w:eastAsia="pl-PL"/>
        </w:rPr>
        <w:t>Uchwała wchodzi w życie z dniem podjęcia.</w:t>
      </w:r>
    </w:p>
    <w:p w14:paraId="0B27B0F5" w14:textId="77777777" w:rsidR="00E6092C" w:rsidRDefault="00E6092C" w:rsidP="00E6092C">
      <w:pPr>
        <w:spacing w:after="0" w:line="276" w:lineRule="auto"/>
        <w:ind w:firstLine="708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5B3A8CA5" w14:textId="77777777" w:rsidR="00E6092C" w:rsidRDefault="00E6092C" w:rsidP="00A33E0D">
      <w:pPr>
        <w:spacing w:after="0" w:line="276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5E696A1D" w14:textId="77777777" w:rsidR="00E6092C" w:rsidRDefault="00E6092C" w:rsidP="00A33E0D">
      <w:pPr>
        <w:spacing w:after="0" w:line="276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22DB0F2F" w14:textId="4DDC7C32" w:rsidR="00E6092C" w:rsidRDefault="00E6092C" w:rsidP="00A33E0D">
      <w:pPr>
        <w:spacing w:after="0" w:line="276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1E956D4C" w14:textId="658EBBFF" w:rsidR="00303474" w:rsidRDefault="00303474" w:rsidP="00A33E0D">
      <w:pPr>
        <w:spacing w:after="0" w:line="276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2FCF191A" w14:textId="3702D0C3" w:rsidR="00303474" w:rsidRDefault="00303474" w:rsidP="00A33E0D">
      <w:pPr>
        <w:spacing w:after="0" w:line="276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bookmarkEnd w:id="0"/>
    <w:p w14:paraId="7970EDF2" w14:textId="77777777" w:rsidR="00E6092C" w:rsidRDefault="00E6092C" w:rsidP="00A33E0D">
      <w:pPr>
        <w:spacing w:after="0" w:line="276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399FEB7E" w14:textId="77777777" w:rsidR="0092215E" w:rsidRDefault="0092215E" w:rsidP="00A33E0D">
      <w:pPr>
        <w:spacing w:after="0" w:line="276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4FCC4716" w14:textId="77777777" w:rsidR="0092215E" w:rsidRDefault="0092215E" w:rsidP="00A33E0D">
      <w:pPr>
        <w:spacing w:after="0" w:line="276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463A2E58" w14:textId="77777777" w:rsidR="0092215E" w:rsidRDefault="0092215E" w:rsidP="00A33E0D">
      <w:pPr>
        <w:spacing w:after="0" w:line="276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3AF735BC" w14:textId="77777777" w:rsidR="0092215E" w:rsidRDefault="0092215E" w:rsidP="00A33E0D">
      <w:pPr>
        <w:spacing w:after="0" w:line="276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6681B921" w14:textId="77777777" w:rsidR="0092215E" w:rsidRDefault="0092215E" w:rsidP="00A33E0D">
      <w:pPr>
        <w:spacing w:after="0" w:line="276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6133E8A5" w14:textId="77777777" w:rsidR="0092215E" w:rsidRDefault="0092215E" w:rsidP="00A33E0D">
      <w:pPr>
        <w:spacing w:after="0" w:line="276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4BF667ED" w14:textId="77777777" w:rsidR="0092215E" w:rsidRDefault="0092215E" w:rsidP="00A33E0D">
      <w:pPr>
        <w:spacing w:after="0" w:line="276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10CD73F7" w14:textId="77777777" w:rsidR="0092215E" w:rsidRDefault="0092215E" w:rsidP="00A33E0D">
      <w:pPr>
        <w:spacing w:after="0" w:line="276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0CC6236D" w14:textId="77777777" w:rsidR="0092215E" w:rsidRDefault="0092215E" w:rsidP="00A33E0D">
      <w:pPr>
        <w:spacing w:after="0" w:line="276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2F68F570" w14:textId="77777777" w:rsidR="0092215E" w:rsidRDefault="0092215E" w:rsidP="00A33E0D">
      <w:pPr>
        <w:spacing w:after="0" w:line="276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5C4B82F0" w14:textId="77777777" w:rsidR="0092215E" w:rsidRDefault="0092215E" w:rsidP="00A33E0D">
      <w:pPr>
        <w:spacing w:after="0" w:line="276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710CC673" w14:textId="77777777" w:rsidR="0092215E" w:rsidRDefault="0092215E" w:rsidP="00A33E0D">
      <w:pPr>
        <w:spacing w:after="0" w:line="276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5D9E0E7F" w14:textId="77777777" w:rsidR="0092215E" w:rsidRDefault="0092215E" w:rsidP="00A33E0D">
      <w:pPr>
        <w:spacing w:after="0" w:line="276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34812608" w14:textId="77777777" w:rsidR="0092215E" w:rsidRPr="003B2BA2" w:rsidRDefault="0092215E" w:rsidP="0092215E">
      <w:pPr>
        <w:spacing w:after="0" w:line="276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3B2BA2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  <w:r w:rsidRPr="003B2BA2">
        <w:rPr>
          <w:rFonts w:eastAsia="Times New Roman" w:cstheme="minorHAnsi"/>
          <w:b/>
          <w:bCs/>
          <w:sz w:val="24"/>
          <w:szCs w:val="24"/>
          <w:lang w:eastAsia="pl-PL"/>
        </w:rPr>
        <w:br/>
        <w:t xml:space="preserve">do 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projektu </w:t>
      </w:r>
      <w:r w:rsidRPr="003B2BA2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uchwały w sprawie przyjęcia </w:t>
      </w:r>
      <w:r w:rsidRPr="00BC1433">
        <w:rPr>
          <w:rFonts w:eastAsia="Times New Roman" w:cstheme="minorHAnsi"/>
          <w:b/>
          <w:bCs/>
          <w:sz w:val="24"/>
          <w:szCs w:val="24"/>
          <w:lang w:eastAsia="pl-PL"/>
        </w:rPr>
        <w:t>Strategii Rozwoju i Promocji Przemysłów Czasu Wolnego dla Miasta Tomaszowa Mazowieckiego oraz Gminy Tomaszów Mazowiecki</w:t>
      </w:r>
    </w:p>
    <w:p w14:paraId="599CC23E" w14:textId="77777777" w:rsidR="0092215E" w:rsidRPr="00331DD2" w:rsidRDefault="0092215E" w:rsidP="0092215E">
      <w:pPr>
        <w:spacing w:after="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331DD2">
        <w:rPr>
          <w:rFonts w:eastAsia="Times New Roman" w:cstheme="minorHAnsi"/>
          <w:sz w:val="24"/>
          <w:szCs w:val="24"/>
          <w:lang w:eastAsia="pl-PL"/>
        </w:rPr>
        <w:t xml:space="preserve">       </w:t>
      </w:r>
    </w:p>
    <w:p w14:paraId="6DD4AD58" w14:textId="77777777" w:rsidR="0092215E" w:rsidRPr="00BC1433" w:rsidRDefault="0092215E" w:rsidP="0092215E">
      <w:pPr>
        <w:spacing w:after="0" w:line="276" w:lineRule="auto"/>
        <w:ind w:firstLine="708"/>
        <w:rPr>
          <w:rFonts w:eastAsia="Times New Roman" w:cstheme="minorHAnsi"/>
          <w:sz w:val="24"/>
          <w:szCs w:val="24"/>
          <w:lang w:eastAsia="pl-PL"/>
        </w:rPr>
      </w:pPr>
      <w:r w:rsidRPr="00BC1433">
        <w:rPr>
          <w:rFonts w:eastAsia="Times New Roman" w:cstheme="minorHAnsi"/>
          <w:sz w:val="24"/>
          <w:szCs w:val="24"/>
          <w:lang w:eastAsia="pl-PL"/>
        </w:rPr>
        <w:t xml:space="preserve">Strategia Rozwoju i Promocji Przemysłów Czasu Wolnego (PCW) dla </w:t>
      </w:r>
      <w:r>
        <w:rPr>
          <w:rFonts w:eastAsia="Times New Roman" w:cstheme="minorHAnsi"/>
          <w:sz w:val="24"/>
          <w:szCs w:val="24"/>
          <w:lang w:eastAsia="pl-PL"/>
        </w:rPr>
        <w:t>M</w:t>
      </w:r>
      <w:r w:rsidRPr="00BC1433">
        <w:rPr>
          <w:rFonts w:eastAsia="Times New Roman" w:cstheme="minorHAnsi"/>
          <w:sz w:val="24"/>
          <w:szCs w:val="24"/>
          <w:lang w:eastAsia="pl-PL"/>
        </w:rPr>
        <w:t xml:space="preserve">iasta Tomaszowa Mazowieckiego oraz Gminy Tomaszów Mazowiecki została przygotowana </w:t>
      </w:r>
      <w:r>
        <w:rPr>
          <w:rFonts w:eastAsia="Times New Roman" w:cstheme="minorHAnsi"/>
          <w:sz w:val="24"/>
          <w:szCs w:val="24"/>
          <w:lang w:eastAsia="pl-PL"/>
        </w:rPr>
        <w:br/>
      </w:r>
      <w:r w:rsidRPr="00BC1433">
        <w:rPr>
          <w:rFonts w:eastAsia="Times New Roman" w:cstheme="minorHAnsi"/>
          <w:sz w:val="24"/>
          <w:szCs w:val="24"/>
          <w:lang w:eastAsia="pl-PL"/>
        </w:rPr>
        <w:t xml:space="preserve">na zlecenie Gminy Miasto Tomaszów Mazowiecki w ramach projektu „TOMASZÓW MAZOWIECKI - ARENA POZYTYWNEJ ENERGII: wzmocnienie spójności społecznej </w:t>
      </w:r>
      <w:r>
        <w:rPr>
          <w:rFonts w:eastAsia="Times New Roman" w:cstheme="minorHAnsi"/>
          <w:sz w:val="24"/>
          <w:szCs w:val="24"/>
          <w:lang w:eastAsia="pl-PL"/>
        </w:rPr>
        <w:br/>
      </w:r>
      <w:r w:rsidRPr="00BC1433">
        <w:rPr>
          <w:rFonts w:eastAsia="Times New Roman" w:cstheme="minorHAnsi"/>
          <w:sz w:val="24"/>
          <w:szCs w:val="24"/>
          <w:lang w:eastAsia="pl-PL"/>
        </w:rPr>
        <w:t>i gospodarczej oraz podniesienie jakości środowiska naturalnego w Tomaszowie Mazowieckim”, dofinansowanego w ramach Programu „Rozwój Lokalny” ze środków Mechanizmu Finansowego Europejskiego Obszaru Gospodarczego 2014 - 2021.</w:t>
      </w:r>
    </w:p>
    <w:p w14:paraId="130B0D98" w14:textId="77777777" w:rsidR="0092215E" w:rsidRPr="00BC1433" w:rsidRDefault="0092215E" w:rsidP="0092215E">
      <w:pPr>
        <w:spacing w:after="0" w:line="276" w:lineRule="auto"/>
        <w:ind w:firstLine="708"/>
        <w:rPr>
          <w:rFonts w:eastAsia="Times New Roman" w:cstheme="minorHAnsi"/>
          <w:sz w:val="24"/>
          <w:szCs w:val="24"/>
          <w:lang w:eastAsia="pl-PL"/>
        </w:rPr>
      </w:pPr>
      <w:r w:rsidRPr="00BC1433">
        <w:rPr>
          <w:rFonts w:eastAsia="Times New Roman" w:cstheme="minorHAnsi"/>
          <w:sz w:val="24"/>
          <w:szCs w:val="24"/>
          <w:lang w:eastAsia="pl-PL"/>
        </w:rPr>
        <w:t xml:space="preserve">Opracowanie Strategii PCW nie jest obligatoryjne, jednak jest istotne, jeśli jednostki samorządu terytorialnego zakładają sprawne zarządzanie tym sektorem na swoim terenie </w:t>
      </w:r>
      <w:r>
        <w:rPr>
          <w:rFonts w:eastAsia="Times New Roman" w:cstheme="minorHAnsi"/>
          <w:sz w:val="24"/>
          <w:szCs w:val="24"/>
          <w:lang w:eastAsia="pl-PL"/>
        </w:rPr>
        <w:br/>
      </w:r>
      <w:r w:rsidRPr="00BC1433">
        <w:rPr>
          <w:rFonts w:eastAsia="Times New Roman" w:cstheme="minorHAnsi"/>
          <w:sz w:val="24"/>
          <w:szCs w:val="24"/>
          <w:lang w:eastAsia="pl-PL"/>
        </w:rPr>
        <w:t xml:space="preserve">i </w:t>
      </w:r>
      <w:r>
        <w:rPr>
          <w:rFonts w:eastAsia="Times New Roman" w:cstheme="minorHAnsi"/>
          <w:sz w:val="24"/>
          <w:szCs w:val="24"/>
          <w:lang w:eastAsia="pl-PL"/>
        </w:rPr>
        <w:t>realizację</w:t>
      </w:r>
      <w:r w:rsidRPr="00BC1433">
        <w:rPr>
          <w:rFonts w:eastAsia="Times New Roman" w:cstheme="minorHAnsi"/>
          <w:sz w:val="24"/>
          <w:szCs w:val="24"/>
          <w:lang w:eastAsia="pl-PL"/>
        </w:rPr>
        <w:t xml:space="preserve"> konstruktywn</w:t>
      </w:r>
      <w:r>
        <w:rPr>
          <w:rFonts w:eastAsia="Times New Roman" w:cstheme="minorHAnsi"/>
          <w:sz w:val="24"/>
          <w:szCs w:val="24"/>
          <w:lang w:eastAsia="pl-PL"/>
        </w:rPr>
        <w:t>ych</w:t>
      </w:r>
      <w:r w:rsidRPr="00BC1433">
        <w:rPr>
          <w:rFonts w:eastAsia="Times New Roman" w:cstheme="minorHAnsi"/>
          <w:sz w:val="24"/>
          <w:szCs w:val="24"/>
          <w:lang w:eastAsia="pl-PL"/>
        </w:rPr>
        <w:t xml:space="preserve"> działa</w:t>
      </w:r>
      <w:r>
        <w:rPr>
          <w:rFonts w:eastAsia="Times New Roman" w:cstheme="minorHAnsi"/>
          <w:sz w:val="24"/>
          <w:szCs w:val="24"/>
          <w:lang w:eastAsia="pl-PL"/>
        </w:rPr>
        <w:t>ń</w:t>
      </w:r>
      <w:r w:rsidRPr="00BC1433">
        <w:rPr>
          <w:rFonts w:eastAsia="Times New Roman" w:cstheme="minorHAnsi"/>
          <w:sz w:val="24"/>
          <w:szCs w:val="24"/>
          <w:lang w:eastAsia="pl-PL"/>
        </w:rPr>
        <w:t xml:space="preserve"> przy udziale finansowania ze środków zewnętrznych</w:t>
      </w:r>
      <w:r>
        <w:rPr>
          <w:rFonts w:eastAsia="Times New Roman" w:cstheme="minorHAnsi"/>
          <w:sz w:val="24"/>
          <w:szCs w:val="24"/>
          <w:lang w:eastAsia="pl-PL"/>
        </w:rPr>
        <w:t xml:space="preserve">. </w:t>
      </w:r>
      <w:r w:rsidRPr="00BC1433">
        <w:rPr>
          <w:rFonts w:eastAsia="Times New Roman" w:cstheme="minorHAnsi"/>
          <w:sz w:val="24"/>
          <w:szCs w:val="24"/>
          <w:lang w:eastAsia="pl-PL"/>
        </w:rPr>
        <w:t xml:space="preserve">Strategia PCW staje się wtedy elementem szerszego planowania rozwoju społeczno-gospodarczego. Przemysły czasu wolnego będące szeroko pojętą gałęzią gospodarki związanej z odpoczynkiem i spędzaniem czasu wolnego, stanowią istotny czynnik rozwojowy. Sektor ten ma także znaczący wpływ na inne dziedziny, takie jak ochrona dziedzictwa kulturowego, poprawa jakości życia, edukacji i stanu zdrowia społeczeństwa </w:t>
      </w:r>
      <w:r>
        <w:rPr>
          <w:rFonts w:eastAsia="Times New Roman" w:cstheme="minorHAnsi"/>
          <w:sz w:val="24"/>
          <w:szCs w:val="24"/>
          <w:lang w:eastAsia="pl-PL"/>
        </w:rPr>
        <w:br/>
      </w:r>
      <w:r w:rsidRPr="00BC1433">
        <w:rPr>
          <w:rFonts w:eastAsia="Times New Roman" w:cstheme="minorHAnsi"/>
          <w:sz w:val="24"/>
          <w:szCs w:val="24"/>
          <w:lang w:eastAsia="pl-PL"/>
        </w:rPr>
        <w:t>oraz kształtowanie pozytywnego wizerunku regionu.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4546B0">
        <w:rPr>
          <w:rFonts w:eastAsia="Times New Roman" w:cstheme="minorHAnsi"/>
          <w:sz w:val="24"/>
          <w:szCs w:val="24"/>
          <w:lang w:eastAsia="pl-PL"/>
        </w:rPr>
        <w:t>Strategi</w:t>
      </w:r>
      <w:r>
        <w:rPr>
          <w:rFonts w:eastAsia="Times New Roman" w:cstheme="minorHAnsi"/>
          <w:sz w:val="24"/>
          <w:szCs w:val="24"/>
          <w:lang w:eastAsia="pl-PL"/>
        </w:rPr>
        <w:t>a</w:t>
      </w:r>
      <w:r w:rsidRPr="004546B0">
        <w:rPr>
          <w:rFonts w:eastAsia="Times New Roman" w:cstheme="minorHAnsi"/>
          <w:sz w:val="24"/>
          <w:szCs w:val="24"/>
          <w:lang w:eastAsia="pl-PL"/>
        </w:rPr>
        <w:t xml:space="preserve"> Rozwoju Miasta Tomaszowa Mazowieckiego 2030 wskazuje przemysły czasu wolnego jako jeden z najistotniejszych kierunków rozwojowych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2A15472D" w14:textId="77777777" w:rsidR="0092215E" w:rsidRPr="00BC1433" w:rsidRDefault="0092215E" w:rsidP="0092215E">
      <w:pPr>
        <w:spacing w:after="0" w:line="276" w:lineRule="auto"/>
        <w:ind w:firstLine="708"/>
        <w:rPr>
          <w:rFonts w:eastAsia="Times New Roman" w:cstheme="minorHAnsi"/>
          <w:sz w:val="24"/>
          <w:szCs w:val="24"/>
          <w:lang w:eastAsia="pl-PL"/>
        </w:rPr>
      </w:pPr>
      <w:r w:rsidRPr="00BC1433">
        <w:rPr>
          <w:rFonts w:eastAsia="Times New Roman" w:cstheme="minorHAnsi"/>
          <w:sz w:val="24"/>
          <w:szCs w:val="24"/>
          <w:lang w:eastAsia="pl-PL"/>
        </w:rPr>
        <w:t>Prezydent Miasta Tomaszowa Mazowieckiego powoła</w:t>
      </w:r>
      <w:r>
        <w:rPr>
          <w:rFonts w:eastAsia="Times New Roman" w:cstheme="minorHAnsi"/>
          <w:sz w:val="24"/>
          <w:szCs w:val="24"/>
          <w:lang w:eastAsia="pl-PL"/>
        </w:rPr>
        <w:t>ł</w:t>
      </w:r>
      <w:r w:rsidRPr="00BC1433">
        <w:rPr>
          <w:rFonts w:eastAsia="Times New Roman" w:cstheme="minorHAnsi"/>
          <w:sz w:val="24"/>
          <w:szCs w:val="24"/>
          <w:lang w:eastAsia="pl-PL"/>
        </w:rPr>
        <w:t xml:space="preserve"> Zarządzeniem Nr 339/2021 </w:t>
      </w:r>
      <w:r>
        <w:rPr>
          <w:rFonts w:eastAsia="Times New Roman" w:cstheme="minorHAnsi"/>
          <w:sz w:val="24"/>
          <w:szCs w:val="24"/>
          <w:lang w:eastAsia="pl-PL"/>
        </w:rPr>
        <w:br/>
      </w:r>
      <w:r w:rsidRPr="00BC1433">
        <w:rPr>
          <w:rFonts w:eastAsia="Times New Roman" w:cstheme="minorHAnsi"/>
          <w:sz w:val="24"/>
          <w:szCs w:val="24"/>
          <w:lang w:eastAsia="pl-PL"/>
        </w:rPr>
        <w:t xml:space="preserve">z dnia 30 grudnia 2021 roku zespół do spraw opracowania kompleksowej Strategii rozwoju </w:t>
      </w:r>
      <w:r>
        <w:rPr>
          <w:rFonts w:eastAsia="Times New Roman" w:cstheme="minorHAnsi"/>
          <w:sz w:val="24"/>
          <w:szCs w:val="24"/>
          <w:lang w:eastAsia="pl-PL"/>
        </w:rPr>
        <w:br/>
      </w:r>
      <w:r w:rsidRPr="00BC1433">
        <w:rPr>
          <w:rFonts w:eastAsia="Times New Roman" w:cstheme="minorHAnsi"/>
          <w:sz w:val="24"/>
          <w:szCs w:val="24"/>
          <w:lang w:eastAsia="pl-PL"/>
        </w:rPr>
        <w:t xml:space="preserve">i promocji przemysłów czasu wolnego na terenie Miasta Tomaszowa Mazowieckiego i Gminy Tomaszów Mazowiecki. W skład zespołu weszli pracownicy </w:t>
      </w:r>
      <w:r>
        <w:rPr>
          <w:rFonts w:eastAsia="Times New Roman" w:cstheme="minorHAnsi"/>
          <w:sz w:val="24"/>
          <w:szCs w:val="24"/>
          <w:lang w:eastAsia="pl-PL"/>
        </w:rPr>
        <w:t>U</w:t>
      </w:r>
      <w:r w:rsidRPr="00BC1433">
        <w:rPr>
          <w:rFonts w:eastAsia="Times New Roman" w:cstheme="minorHAnsi"/>
          <w:sz w:val="24"/>
          <w:szCs w:val="24"/>
          <w:lang w:eastAsia="pl-PL"/>
        </w:rPr>
        <w:t>rzędu Miasta</w:t>
      </w:r>
      <w:r>
        <w:rPr>
          <w:rFonts w:eastAsia="Times New Roman" w:cstheme="minorHAnsi"/>
          <w:sz w:val="24"/>
          <w:szCs w:val="24"/>
          <w:lang w:eastAsia="pl-PL"/>
        </w:rPr>
        <w:t>,</w:t>
      </w:r>
      <w:r w:rsidRPr="00BC1433">
        <w:rPr>
          <w:rFonts w:eastAsia="Times New Roman" w:cstheme="minorHAnsi"/>
          <w:sz w:val="24"/>
          <w:szCs w:val="24"/>
          <w:lang w:eastAsia="pl-PL"/>
        </w:rPr>
        <w:t xml:space="preserve"> dyrektorzy jednostek kultury, przedstawiciele tomaszowskiego sportu, </w:t>
      </w:r>
      <w:r>
        <w:rPr>
          <w:rFonts w:eastAsia="Times New Roman" w:cstheme="minorHAnsi"/>
          <w:sz w:val="24"/>
          <w:szCs w:val="24"/>
          <w:lang w:eastAsia="pl-PL"/>
        </w:rPr>
        <w:t xml:space="preserve">organizacji pozarządowych </w:t>
      </w:r>
      <w:r>
        <w:rPr>
          <w:rFonts w:eastAsia="Times New Roman" w:cstheme="minorHAnsi"/>
          <w:sz w:val="24"/>
          <w:szCs w:val="24"/>
          <w:lang w:eastAsia="pl-PL"/>
        </w:rPr>
        <w:br/>
        <w:t>oraz</w:t>
      </w:r>
      <w:r w:rsidRPr="00BC1433">
        <w:rPr>
          <w:rFonts w:eastAsia="Times New Roman" w:cstheme="minorHAnsi"/>
          <w:sz w:val="24"/>
          <w:szCs w:val="24"/>
          <w:lang w:eastAsia="pl-PL"/>
        </w:rPr>
        <w:t xml:space="preserve"> </w:t>
      </w:r>
      <w:r>
        <w:rPr>
          <w:rFonts w:eastAsia="Times New Roman" w:cstheme="minorHAnsi"/>
          <w:sz w:val="24"/>
          <w:szCs w:val="24"/>
          <w:lang w:eastAsia="pl-PL"/>
        </w:rPr>
        <w:t xml:space="preserve">partnerów w realizacji projektu </w:t>
      </w:r>
      <w:r w:rsidRPr="00BC1433">
        <w:rPr>
          <w:rFonts w:eastAsia="Times New Roman" w:cstheme="minorHAnsi"/>
          <w:sz w:val="24"/>
          <w:szCs w:val="24"/>
          <w:lang w:eastAsia="pl-PL"/>
        </w:rPr>
        <w:t>„TOMASZÓW MAZOWIECKI - ARENA POZYTYWNEJ ENERGII</w:t>
      </w:r>
      <w:r>
        <w:rPr>
          <w:rFonts w:eastAsia="Times New Roman" w:cstheme="minorHAnsi"/>
          <w:sz w:val="24"/>
          <w:szCs w:val="24"/>
          <w:lang w:eastAsia="pl-PL"/>
        </w:rPr>
        <w:t>”, czyli Gminy Tomaszów Mazowiecki,</w:t>
      </w:r>
      <w:r w:rsidRPr="00BC1433">
        <w:rPr>
          <w:rFonts w:eastAsia="Times New Roman" w:cstheme="minorHAnsi"/>
          <w:sz w:val="24"/>
          <w:szCs w:val="24"/>
          <w:lang w:eastAsia="pl-PL"/>
        </w:rPr>
        <w:t xml:space="preserve"> Uniwersytetu Łódzkiego </w:t>
      </w:r>
      <w:r>
        <w:rPr>
          <w:rFonts w:eastAsia="Times New Roman" w:cstheme="minorHAnsi"/>
          <w:sz w:val="24"/>
          <w:szCs w:val="24"/>
          <w:lang w:eastAsia="pl-PL"/>
        </w:rPr>
        <w:t>oraz Fundacji „Widzieć Więcej”.</w:t>
      </w:r>
    </w:p>
    <w:p w14:paraId="0D5863B7" w14:textId="77777777" w:rsidR="0092215E" w:rsidRPr="00BC1433" w:rsidRDefault="0092215E" w:rsidP="0092215E">
      <w:pPr>
        <w:spacing w:after="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BC1433">
        <w:rPr>
          <w:rFonts w:eastAsia="Times New Roman" w:cstheme="minorHAnsi"/>
          <w:sz w:val="24"/>
          <w:szCs w:val="24"/>
          <w:lang w:eastAsia="pl-PL"/>
        </w:rPr>
        <w:t xml:space="preserve">Etapem wstępnym do opracowania Strategii PCW były prace analityczne i diagnostyczne dotyczące uwarunkowań dla rozwoju przemysłów PCW </w:t>
      </w:r>
      <w:r>
        <w:rPr>
          <w:rFonts w:eastAsia="Times New Roman" w:cstheme="minorHAnsi"/>
          <w:sz w:val="24"/>
          <w:szCs w:val="24"/>
          <w:lang w:eastAsia="pl-PL"/>
        </w:rPr>
        <w:t>na terenie obu samorządów</w:t>
      </w:r>
      <w:r w:rsidRPr="00BC1433">
        <w:rPr>
          <w:rFonts w:eastAsia="Times New Roman" w:cstheme="minorHAnsi"/>
          <w:sz w:val="24"/>
          <w:szCs w:val="24"/>
          <w:lang w:eastAsia="pl-PL"/>
        </w:rPr>
        <w:t>. Prace obejmowały:</w:t>
      </w:r>
    </w:p>
    <w:p w14:paraId="12F61935" w14:textId="77777777" w:rsidR="0092215E" w:rsidRPr="0073589E" w:rsidRDefault="0092215E" w:rsidP="0092215E">
      <w:pPr>
        <w:pStyle w:val="Akapitzlist"/>
        <w:numPr>
          <w:ilvl w:val="0"/>
          <w:numId w:val="13"/>
        </w:numPr>
        <w:spacing w:after="0" w:line="276" w:lineRule="auto"/>
        <w:ind w:left="284" w:hanging="284"/>
        <w:rPr>
          <w:rFonts w:eastAsia="Times New Roman" w:cstheme="minorHAnsi"/>
          <w:sz w:val="24"/>
          <w:szCs w:val="24"/>
          <w:lang w:eastAsia="pl-PL"/>
        </w:rPr>
      </w:pPr>
      <w:r w:rsidRPr="0073589E">
        <w:rPr>
          <w:rFonts w:eastAsia="Times New Roman" w:cstheme="minorHAnsi"/>
          <w:sz w:val="24"/>
          <w:szCs w:val="24"/>
          <w:lang w:eastAsia="pl-PL"/>
        </w:rPr>
        <w:t>analizę dokumentów nadrzędnych pod kątem podejmowania zagadnienia przemysłów czasu wolnego;</w:t>
      </w:r>
    </w:p>
    <w:p w14:paraId="0631C2CD" w14:textId="77777777" w:rsidR="0092215E" w:rsidRPr="0073589E" w:rsidRDefault="0092215E" w:rsidP="0092215E">
      <w:pPr>
        <w:pStyle w:val="Akapitzlist"/>
        <w:numPr>
          <w:ilvl w:val="0"/>
          <w:numId w:val="13"/>
        </w:numPr>
        <w:spacing w:after="0" w:line="276" w:lineRule="auto"/>
        <w:ind w:left="284" w:hanging="284"/>
        <w:rPr>
          <w:rFonts w:eastAsia="Times New Roman" w:cstheme="minorHAnsi"/>
          <w:sz w:val="24"/>
          <w:szCs w:val="24"/>
          <w:lang w:eastAsia="pl-PL"/>
        </w:rPr>
      </w:pPr>
      <w:r w:rsidRPr="0073589E">
        <w:rPr>
          <w:rFonts w:eastAsia="Times New Roman" w:cstheme="minorHAnsi"/>
          <w:sz w:val="24"/>
          <w:szCs w:val="24"/>
          <w:lang w:eastAsia="pl-PL"/>
        </w:rPr>
        <w:t>analizę podstawowych uwarunkowań i potencjałów lokalnych w sferach: turystyka, kultura i rozrywka, sport i rekreacja;</w:t>
      </w:r>
    </w:p>
    <w:p w14:paraId="3E0ADCF5" w14:textId="77777777" w:rsidR="0092215E" w:rsidRPr="0073589E" w:rsidRDefault="0092215E" w:rsidP="0092215E">
      <w:pPr>
        <w:pStyle w:val="Akapitzlist"/>
        <w:numPr>
          <w:ilvl w:val="0"/>
          <w:numId w:val="13"/>
        </w:numPr>
        <w:spacing w:after="0" w:line="276" w:lineRule="auto"/>
        <w:ind w:left="284" w:hanging="284"/>
        <w:rPr>
          <w:rFonts w:eastAsia="Times New Roman" w:cstheme="minorHAnsi"/>
          <w:sz w:val="24"/>
          <w:szCs w:val="24"/>
          <w:lang w:eastAsia="pl-PL"/>
        </w:rPr>
      </w:pPr>
      <w:r w:rsidRPr="0073589E">
        <w:rPr>
          <w:rFonts w:eastAsia="Times New Roman" w:cstheme="minorHAnsi"/>
          <w:sz w:val="24"/>
          <w:szCs w:val="24"/>
          <w:lang w:eastAsia="pl-PL"/>
        </w:rPr>
        <w:t>indywidualne wywiady pogłębione z kluczowymi interesariuszami (IDI);</w:t>
      </w:r>
    </w:p>
    <w:p w14:paraId="41CB7C78" w14:textId="77777777" w:rsidR="0092215E" w:rsidRPr="0073589E" w:rsidRDefault="0092215E" w:rsidP="0092215E">
      <w:pPr>
        <w:pStyle w:val="Akapitzlist"/>
        <w:numPr>
          <w:ilvl w:val="0"/>
          <w:numId w:val="13"/>
        </w:numPr>
        <w:spacing w:after="0" w:line="276" w:lineRule="auto"/>
        <w:ind w:left="284" w:hanging="284"/>
        <w:rPr>
          <w:rFonts w:eastAsia="Times New Roman" w:cstheme="minorHAnsi"/>
          <w:sz w:val="24"/>
          <w:szCs w:val="24"/>
          <w:lang w:eastAsia="pl-PL"/>
        </w:rPr>
      </w:pPr>
      <w:r w:rsidRPr="0073589E">
        <w:rPr>
          <w:rFonts w:eastAsia="Times New Roman" w:cstheme="minorHAnsi"/>
          <w:sz w:val="24"/>
          <w:szCs w:val="24"/>
          <w:lang w:eastAsia="pl-PL"/>
        </w:rPr>
        <w:t>badanie ankietowe przeprowadzone wśród przedsiębiorców z analizowanego obszaru;</w:t>
      </w:r>
    </w:p>
    <w:p w14:paraId="3672DCCA" w14:textId="77777777" w:rsidR="0092215E" w:rsidRPr="0073589E" w:rsidRDefault="0092215E" w:rsidP="0092215E">
      <w:pPr>
        <w:pStyle w:val="Akapitzlist"/>
        <w:numPr>
          <w:ilvl w:val="0"/>
          <w:numId w:val="13"/>
        </w:numPr>
        <w:spacing w:after="0" w:line="276" w:lineRule="auto"/>
        <w:ind w:left="284" w:hanging="284"/>
        <w:rPr>
          <w:rFonts w:eastAsia="Times New Roman" w:cstheme="minorHAnsi"/>
          <w:sz w:val="24"/>
          <w:szCs w:val="24"/>
          <w:lang w:eastAsia="pl-PL"/>
        </w:rPr>
      </w:pPr>
      <w:r w:rsidRPr="0073589E">
        <w:rPr>
          <w:rFonts w:eastAsia="Times New Roman" w:cstheme="minorHAnsi"/>
          <w:sz w:val="24"/>
          <w:szCs w:val="24"/>
          <w:lang w:eastAsia="pl-PL"/>
        </w:rPr>
        <w:t>badanie ankietowe przeprowadzone wśród mieszkańców analizowanego obszaru</w:t>
      </w:r>
      <w:r>
        <w:rPr>
          <w:rFonts w:eastAsia="Times New Roman" w:cstheme="minorHAnsi"/>
          <w:sz w:val="24"/>
          <w:szCs w:val="24"/>
          <w:lang w:eastAsia="pl-PL"/>
        </w:rPr>
        <w:t>;</w:t>
      </w:r>
    </w:p>
    <w:p w14:paraId="6F8CF903" w14:textId="77777777" w:rsidR="0092215E" w:rsidRPr="0073589E" w:rsidRDefault="0092215E" w:rsidP="0092215E">
      <w:pPr>
        <w:pStyle w:val="Akapitzlist"/>
        <w:numPr>
          <w:ilvl w:val="0"/>
          <w:numId w:val="13"/>
        </w:numPr>
        <w:spacing w:after="0" w:line="276" w:lineRule="auto"/>
        <w:ind w:left="284" w:hanging="284"/>
        <w:rPr>
          <w:rFonts w:eastAsia="Times New Roman" w:cstheme="minorHAnsi"/>
          <w:sz w:val="24"/>
          <w:szCs w:val="24"/>
          <w:lang w:eastAsia="pl-PL"/>
        </w:rPr>
      </w:pPr>
      <w:r w:rsidRPr="0073589E">
        <w:rPr>
          <w:rFonts w:eastAsia="Times New Roman" w:cstheme="minorHAnsi"/>
          <w:sz w:val="24"/>
          <w:szCs w:val="24"/>
          <w:lang w:eastAsia="pl-PL"/>
        </w:rPr>
        <w:t>przeprowadzenie analizy SWOT i wyprowadzenie wniosków dla Strategii PCW.</w:t>
      </w:r>
    </w:p>
    <w:p w14:paraId="0E39DACF" w14:textId="77777777" w:rsidR="0092215E" w:rsidRPr="00BC1433" w:rsidRDefault="0092215E" w:rsidP="0092215E">
      <w:pPr>
        <w:spacing w:after="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BC1433">
        <w:rPr>
          <w:rFonts w:eastAsia="Times New Roman" w:cstheme="minorHAnsi"/>
          <w:sz w:val="24"/>
          <w:szCs w:val="24"/>
          <w:lang w:eastAsia="pl-PL"/>
        </w:rPr>
        <w:lastRenderedPageBreak/>
        <w:t xml:space="preserve">Wnioski z przeprowadzonych prac analitycznych i diagnostycznych wykorzystane zostały </w:t>
      </w:r>
      <w:r>
        <w:rPr>
          <w:rFonts w:eastAsia="Times New Roman" w:cstheme="minorHAnsi"/>
          <w:sz w:val="24"/>
          <w:szCs w:val="24"/>
          <w:lang w:eastAsia="pl-PL"/>
        </w:rPr>
        <w:br/>
        <w:t xml:space="preserve">do opracowania </w:t>
      </w:r>
      <w:r w:rsidRPr="00BC1433">
        <w:rPr>
          <w:rFonts w:eastAsia="Times New Roman" w:cstheme="minorHAnsi"/>
          <w:sz w:val="24"/>
          <w:szCs w:val="24"/>
          <w:lang w:eastAsia="pl-PL"/>
        </w:rPr>
        <w:t>dokumen</w:t>
      </w:r>
      <w:r>
        <w:rPr>
          <w:rFonts w:eastAsia="Times New Roman" w:cstheme="minorHAnsi"/>
          <w:sz w:val="24"/>
          <w:szCs w:val="24"/>
          <w:lang w:eastAsia="pl-PL"/>
        </w:rPr>
        <w:t>tu</w:t>
      </w:r>
      <w:r w:rsidRPr="00BC1433">
        <w:rPr>
          <w:rFonts w:eastAsia="Times New Roman" w:cstheme="minorHAnsi"/>
          <w:sz w:val="24"/>
          <w:szCs w:val="24"/>
          <w:lang w:eastAsia="pl-PL"/>
        </w:rPr>
        <w:t xml:space="preserve"> pn. Raport z analizy i diagnozy w obszarze przemysłów czasu wolnego wraz z wypracowaniem wniosków dla Strategii</w:t>
      </w:r>
      <w:r>
        <w:rPr>
          <w:rFonts w:eastAsia="Times New Roman" w:cstheme="minorHAnsi"/>
          <w:sz w:val="24"/>
          <w:szCs w:val="24"/>
          <w:lang w:eastAsia="pl-PL"/>
        </w:rPr>
        <w:t xml:space="preserve"> PCW. </w:t>
      </w:r>
      <w:r w:rsidRPr="00BC1433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5C8BEE45" w14:textId="77777777" w:rsidR="0092215E" w:rsidRDefault="0092215E" w:rsidP="0092215E">
      <w:pPr>
        <w:spacing w:after="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BC1433">
        <w:rPr>
          <w:rFonts w:eastAsia="Times New Roman" w:cstheme="minorHAnsi"/>
          <w:sz w:val="24"/>
          <w:szCs w:val="24"/>
          <w:lang w:eastAsia="pl-PL"/>
        </w:rPr>
        <w:t xml:space="preserve">Bogaty materiał diagnostyczny ujawniający potencjał </w:t>
      </w:r>
      <w:r>
        <w:rPr>
          <w:rFonts w:eastAsia="Times New Roman" w:cstheme="minorHAnsi"/>
          <w:sz w:val="24"/>
          <w:szCs w:val="24"/>
          <w:lang w:eastAsia="pl-PL"/>
        </w:rPr>
        <w:t>obu samorządów</w:t>
      </w:r>
      <w:r w:rsidRPr="00BC1433">
        <w:rPr>
          <w:rFonts w:eastAsia="Times New Roman" w:cstheme="minorHAnsi"/>
          <w:sz w:val="24"/>
          <w:szCs w:val="24"/>
          <w:lang w:eastAsia="pl-PL"/>
        </w:rPr>
        <w:t xml:space="preserve"> do rozwoju przemysłów czasu wolnego oraz przeprowadzone konsultacje z interesariuszami na etapie konstruowania dokumentu pozwoliły na doprecyzowanie metodą ekspercką założeń </w:t>
      </w:r>
      <w:r>
        <w:rPr>
          <w:rFonts w:eastAsia="Times New Roman" w:cstheme="minorHAnsi"/>
          <w:sz w:val="24"/>
          <w:szCs w:val="24"/>
          <w:lang w:eastAsia="pl-PL"/>
        </w:rPr>
        <w:br/>
      </w:r>
      <w:r w:rsidRPr="00BC1433">
        <w:rPr>
          <w:rFonts w:eastAsia="Times New Roman" w:cstheme="minorHAnsi"/>
          <w:sz w:val="24"/>
          <w:szCs w:val="24"/>
          <w:lang w:eastAsia="pl-PL"/>
        </w:rPr>
        <w:t xml:space="preserve">w obszarze rozwoju PCW. Wypracowany został układ celów strategicznych </w:t>
      </w:r>
      <w:r>
        <w:rPr>
          <w:rFonts w:eastAsia="Times New Roman" w:cstheme="minorHAnsi"/>
          <w:sz w:val="24"/>
          <w:szCs w:val="24"/>
          <w:lang w:eastAsia="pl-PL"/>
        </w:rPr>
        <w:br/>
      </w:r>
      <w:r w:rsidRPr="00BC1433">
        <w:rPr>
          <w:rFonts w:eastAsia="Times New Roman" w:cstheme="minorHAnsi"/>
          <w:sz w:val="24"/>
          <w:szCs w:val="24"/>
          <w:lang w:eastAsia="pl-PL"/>
        </w:rPr>
        <w:t xml:space="preserve">oraz operacyjnych, a także określono kierunki działań rozwojowych i promocyjnych. </w:t>
      </w:r>
    </w:p>
    <w:p w14:paraId="7F40BA4F" w14:textId="77777777" w:rsidR="0092215E" w:rsidRDefault="0092215E" w:rsidP="0092215E">
      <w:pPr>
        <w:spacing w:after="0" w:line="276" w:lineRule="auto"/>
        <w:ind w:firstLine="708"/>
        <w:rPr>
          <w:rFonts w:eastAsia="Times New Roman" w:cstheme="minorHAnsi"/>
          <w:sz w:val="24"/>
          <w:szCs w:val="24"/>
          <w:lang w:eastAsia="pl-PL"/>
        </w:rPr>
      </w:pPr>
      <w:r w:rsidRPr="00BC1433">
        <w:rPr>
          <w:rFonts w:eastAsia="Times New Roman" w:cstheme="minorHAnsi"/>
          <w:sz w:val="24"/>
          <w:szCs w:val="24"/>
          <w:lang w:eastAsia="pl-PL"/>
        </w:rPr>
        <w:t>Celem ogólnym Strategii PCW jest</w:t>
      </w:r>
      <w:r>
        <w:rPr>
          <w:rFonts w:eastAsia="Times New Roman" w:cstheme="minorHAnsi"/>
          <w:sz w:val="24"/>
          <w:szCs w:val="24"/>
          <w:lang w:eastAsia="pl-PL"/>
        </w:rPr>
        <w:t xml:space="preserve"> t</w:t>
      </w:r>
      <w:r w:rsidRPr="00BC1433">
        <w:rPr>
          <w:rFonts w:eastAsia="Times New Roman" w:cstheme="minorHAnsi"/>
          <w:sz w:val="24"/>
          <w:szCs w:val="24"/>
          <w:lang w:eastAsia="pl-PL"/>
        </w:rPr>
        <w:t xml:space="preserve">worzenie warunków do rozwoju przemysłów czasu wolnego w Gminie Miasto Tomaszów Mazowiecki i w Gminie Tomaszów Mazowiecki. </w:t>
      </w:r>
    </w:p>
    <w:p w14:paraId="71386274" w14:textId="77777777" w:rsidR="0092215E" w:rsidRPr="00CD7D7E" w:rsidRDefault="0092215E" w:rsidP="0092215E">
      <w:pPr>
        <w:spacing w:after="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CD7D7E">
        <w:rPr>
          <w:rFonts w:eastAsia="Times New Roman" w:cstheme="minorHAnsi"/>
          <w:sz w:val="24"/>
          <w:szCs w:val="24"/>
          <w:lang w:eastAsia="pl-PL"/>
        </w:rPr>
        <w:t>Strategia PCW wskazuje na konieczność działań, które przyczynią się do:</w:t>
      </w:r>
    </w:p>
    <w:p w14:paraId="1B2602CA" w14:textId="77777777" w:rsidR="0092215E" w:rsidRDefault="0092215E" w:rsidP="0092215E">
      <w:pPr>
        <w:pStyle w:val="Akapitzlist"/>
        <w:numPr>
          <w:ilvl w:val="0"/>
          <w:numId w:val="14"/>
        </w:numPr>
        <w:spacing w:after="0" w:line="276" w:lineRule="auto"/>
        <w:ind w:left="284" w:hanging="284"/>
        <w:rPr>
          <w:rFonts w:eastAsia="Times New Roman" w:cstheme="minorHAnsi"/>
          <w:sz w:val="24"/>
          <w:szCs w:val="24"/>
          <w:lang w:eastAsia="pl-PL"/>
        </w:rPr>
      </w:pPr>
      <w:r w:rsidRPr="00CD7D7E">
        <w:rPr>
          <w:rFonts w:eastAsia="Times New Roman" w:cstheme="minorHAnsi"/>
          <w:sz w:val="24"/>
          <w:szCs w:val="24"/>
          <w:lang w:eastAsia="pl-PL"/>
        </w:rPr>
        <w:t xml:space="preserve">zwiększenia dostępności i atrakcyjności oferty PCW spełniającej potrzeby mieszkańców </w:t>
      </w:r>
      <w:r>
        <w:rPr>
          <w:rFonts w:eastAsia="Times New Roman" w:cstheme="minorHAnsi"/>
          <w:sz w:val="24"/>
          <w:szCs w:val="24"/>
          <w:lang w:eastAsia="pl-PL"/>
        </w:rPr>
        <w:br/>
      </w:r>
      <w:r w:rsidRPr="00CD7D7E">
        <w:rPr>
          <w:rFonts w:eastAsia="Times New Roman" w:cstheme="minorHAnsi"/>
          <w:sz w:val="24"/>
          <w:szCs w:val="24"/>
          <w:lang w:eastAsia="pl-PL"/>
        </w:rPr>
        <w:t>i turystów, z uwzględnieniem zasobów dziedzictwa kulturowego i przyrodniczego, infrastruktury i oferty sportowo-rekreacyjnej oraz infrastruktury i oferty kulturalno-rozrywkowej;</w:t>
      </w:r>
    </w:p>
    <w:p w14:paraId="1C45C299" w14:textId="77777777" w:rsidR="0092215E" w:rsidRDefault="0092215E" w:rsidP="0092215E">
      <w:pPr>
        <w:pStyle w:val="Akapitzlist"/>
        <w:numPr>
          <w:ilvl w:val="0"/>
          <w:numId w:val="14"/>
        </w:numPr>
        <w:spacing w:after="0" w:line="276" w:lineRule="auto"/>
        <w:ind w:left="284" w:hanging="284"/>
        <w:rPr>
          <w:rFonts w:eastAsia="Times New Roman" w:cstheme="minorHAnsi"/>
          <w:sz w:val="24"/>
          <w:szCs w:val="24"/>
          <w:lang w:eastAsia="pl-PL"/>
        </w:rPr>
      </w:pPr>
      <w:r w:rsidRPr="00CD7D7E">
        <w:rPr>
          <w:rFonts w:eastAsia="Times New Roman" w:cstheme="minorHAnsi"/>
          <w:sz w:val="24"/>
          <w:szCs w:val="24"/>
          <w:lang w:eastAsia="pl-PL"/>
        </w:rPr>
        <w:t xml:space="preserve">stworzenia platformy współdziałania sektora PCW, z uwzględnieniem skutecznego mechanizmu współpracy, wzmacniania branży PCW jako istotnej gałęzi gospodarki </w:t>
      </w:r>
      <w:r>
        <w:rPr>
          <w:rFonts w:eastAsia="Times New Roman" w:cstheme="minorHAnsi"/>
          <w:sz w:val="24"/>
          <w:szCs w:val="24"/>
          <w:lang w:eastAsia="pl-PL"/>
        </w:rPr>
        <w:br/>
      </w:r>
      <w:r w:rsidRPr="00CD7D7E">
        <w:rPr>
          <w:rFonts w:eastAsia="Times New Roman" w:cstheme="minorHAnsi"/>
          <w:sz w:val="24"/>
          <w:szCs w:val="24"/>
          <w:lang w:eastAsia="pl-PL"/>
        </w:rPr>
        <w:t>oraz współpracy w zakresie kreowania zintegrowanego systemu marketingu PCW;</w:t>
      </w:r>
    </w:p>
    <w:p w14:paraId="3B471870" w14:textId="77777777" w:rsidR="0092215E" w:rsidRPr="00CD7D7E" w:rsidRDefault="0092215E" w:rsidP="0092215E">
      <w:pPr>
        <w:pStyle w:val="Akapitzlist"/>
        <w:numPr>
          <w:ilvl w:val="0"/>
          <w:numId w:val="14"/>
        </w:numPr>
        <w:spacing w:after="0" w:line="276" w:lineRule="auto"/>
        <w:ind w:left="284" w:hanging="284"/>
        <w:rPr>
          <w:rFonts w:eastAsia="Times New Roman" w:cstheme="minorHAnsi"/>
          <w:sz w:val="24"/>
          <w:szCs w:val="24"/>
          <w:lang w:eastAsia="pl-PL"/>
        </w:rPr>
      </w:pPr>
      <w:r w:rsidRPr="00CD7D7E">
        <w:rPr>
          <w:rFonts w:eastAsia="Times New Roman" w:cstheme="minorHAnsi"/>
          <w:sz w:val="24"/>
          <w:szCs w:val="24"/>
          <w:lang w:eastAsia="pl-PL"/>
        </w:rPr>
        <w:t>budowy i rozwoju zintegrowanego systemu informacji i promocji PCW, z uwzględnieniem spójnego systemu informacji i promocji wykorzystującego nowe technologie, współpracy pomiędzy różnymi podmiotami w zakresie kreowania spójnego wizerunku sektora PCW oraz kształtowania świadomości społecznej dotyczącej potencjału PCW dla rozwoju społeczno</w:t>
      </w:r>
      <w:r>
        <w:rPr>
          <w:rFonts w:eastAsia="Times New Roman" w:cstheme="minorHAnsi"/>
          <w:sz w:val="24"/>
          <w:szCs w:val="24"/>
          <w:lang w:eastAsia="pl-PL"/>
        </w:rPr>
        <w:t>-gospodarczego</w:t>
      </w:r>
      <w:r w:rsidRPr="00CD7D7E">
        <w:rPr>
          <w:rFonts w:eastAsia="Times New Roman" w:cstheme="minorHAnsi"/>
          <w:sz w:val="24"/>
          <w:szCs w:val="24"/>
          <w:lang w:eastAsia="pl-PL"/>
        </w:rPr>
        <w:t xml:space="preserve"> obszaru</w:t>
      </w:r>
      <w:r>
        <w:rPr>
          <w:rFonts w:eastAsia="Times New Roman" w:cstheme="minorHAnsi"/>
          <w:sz w:val="24"/>
          <w:szCs w:val="24"/>
          <w:lang w:eastAsia="pl-PL"/>
        </w:rPr>
        <w:t xml:space="preserve"> obu samorządów</w:t>
      </w:r>
      <w:r w:rsidRPr="00CD7D7E">
        <w:rPr>
          <w:rFonts w:eastAsia="Times New Roman" w:cstheme="minorHAnsi"/>
          <w:sz w:val="24"/>
          <w:szCs w:val="24"/>
          <w:lang w:eastAsia="pl-PL"/>
        </w:rPr>
        <w:t>.</w:t>
      </w:r>
    </w:p>
    <w:p w14:paraId="318144A6" w14:textId="77777777" w:rsidR="0092215E" w:rsidRPr="00BC1433" w:rsidRDefault="0092215E" w:rsidP="0092215E">
      <w:pPr>
        <w:spacing w:after="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BC1433">
        <w:rPr>
          <w:rFonts w:eastAsia="Times New Roman" w:cstheme="minorHAnsi"/>
          <w:sz w:val="24"/>
          <w:szCs w:val="24"/>
          <w:lang w:eastAsia="pl-PL"/>
        </w:rPr>
        <w:t>Tworzenie warunków sprzyjających rozwojowi i promocji przemysłów czasu wolnego wymaga współdziałania wielosektorowego, obejmującego samorządy, przedsiębiorców, organizacje pozarządowe, środowiska naukowe</w:t>
      </w:r>
      <w:r>
        <w:rPr>
          <w:rFonts w:eastAsia="Times New Roman" w:cstheme="minorHAnsi"/>
          <w:sz w:val="24"/>
          <w:szCs w:val="24"/>
          <w:lang w:eastAsia="pl-PL"/>
        </w:rPr>
        <w:t xml:space="preserve"> i instytucje kultury</w:t>
      </w:r>
      <w:r w:rsidRPr="00BC1433">
        <w:rPr>
          <w:rFonts w:eastAsia="Times New Roman" w:cstheme="minorHAnsi"/>
          <w:sz w:val="24"/>
          <w:szCs w:val="24"/>
          <w:lang w:eastAsia="pl-PL"/>
        </w:rPr>
        <w:t xml:space="preserve">. </w:t>
      </w:r>
    </w:p>
    <w:p w14:paraId="4733647A" w14:textId="77777777" w:rsidR="0092215E" w:rsidRPr="00BC1433" w:rsidRDefault="0092215E" w:rsidP="0092215E">
      <w:pPr>
        <w:spacing w:after="0" w:line="276" w:lineRule="auto"/>
        <w:ind w:firstLine="708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Prezentowany</w:t>
      </w:r>
      <w:r w:rsidRPr="00BC1433">
        <w:rPr>
          <w:rFonts w:eastAsia="Times New Roman" w:cstheme="minorHAnsi"/>
          <w:sz w:val="24"/>
          <w:szCs w:val="24"/>
          <w:lang w:eastAsia="pl-PL"/>
        </w:rPr>
        <w:t xml:space="preserve"> dokument, pozostając w zgodności z dokumentami nadrzędnymi </w:t>
      </w:r>
      <w:r>
        <w:rPr>
          <w:rFonts w:eastAsia="Times New Roman" w:cstheme="minorHAnsi"/>
          <w:sz w:val="24"/>
          <w:szCs w:val="24"/>
          <w:lang w:eastAsia="pl-PL"/>
        </w:rPr>
        <w:br/>
      </w:r>
      <w:r w:rsidRPr="00BC1433">
        <w:rPr>
          <w:rFonts w:eastAsia="Times New Roman" w:cstheme="minorHAnsi"/>
          <w:sz w:val="24"/>
          <w:szCs w:val="24"/>
          <w:lang w:eastAsia="pl-PL"/>
        </w:rPr>
        <w:t>na poziomie wspólnotowym, krajowym, regionalnym i lokalnym, buduje założenia strategiczne w sektorze przemysłów czasu wolnego i wpisuje się w konsekwentne i spójne prowadzenie polityki rozwojowej Gminy Miasto Tomaszów Mazowiecki i Gminy Tomaszów Mazowiecki, uwzględniającej partycypację społeczną w działaniach planistycznych.</w:t>
      </w:r>
    </w:p>
    <w:p w14:paraId="5864B7E8" w14:textId="77777777" w:rsidR="0092215E" w:rsidRDefault="0092215E" w:rsidP="00A33E0D">
      <w:pPr>
        <w:spacing w:after="0" w:line="276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sectPr w:rsidR="009221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2A1E6C" w14:textId="77777777" w:rsidR="005A1579" w:rsidRDefault="005A1579" w:rsidP="003F7DD7">
      <w:pPr>
        <w:spacing w:after="0" w:line="240" w:lineRule="auto"/>
      </w:pPr>
      <w:r>
        <w:separator/>
      </w:r>
    </w:p>
  </w:endnote>
  <w:endnote w:type="continuationSeparator" w:id="0">
    <w:p w14:paraId="517CD9D3" w14:textId="77777777" w:rsidR="005A1579" w:rsidRDefault="005A1579" w:rsidP="003F7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13BD68" w14:textId="77777777" w:rsidR="005A1579" w:rsidRDefault="005A1579" w:rsidP="003F7DD7">
      <w:pPr>
        <w:spacing w:after="0" w:line="240" w:lineRule="auto"/>
      </w:pPr>
      <w:r>
        <w:separator/>
      </w:r>
    </w:p>
  </w:footnote>
  <w:footnote w:type="continuationSeparator" w:id="0">
    <w:p w14:paraId="5A648827" w14:textId="77777777" w:rsidR="005A1579" w:rsidRDefault="005A1579" w:rsidP="003F7D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65C5A"/>
    <w:multiLevelType w:val="hybridMultilevel"/>
    <w:tmpl w:val="837A88EA"/>
    <w:lvl w:ilvl="0" w:tplc="EB4A2ECC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03A32A14"/>
    <w:multiLevelType w:val="hybridMultilevel"/>
    <w:tmpl w:val="228CDBA2"/>
    <w:lvl w:ilvl="0" w:tplc="0F52178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CAE0F45"/>
    <w:multiLevelType w:val="hybridMultilevel"/>
    <w:tmpl w:val="81C0FF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475AE8"/>
    <w:multiLevelType w:val="hybridMultilevel"/>
    <w:tmpl w:val="7B3E5CBA"/>
    <w:lvl w:ilvl="0" w:tplc="E4A074AE">
      <w:start w:val="1"/>
      <w:numFmt w:val="decimal"/>
      <w:lvlText w:val="%1)"/>
      <w:lvlJc w:val="left"/>
      <w:pPr>
        <w:ind w:left="644" w:hanging="360"/>
      </w:pPr>
      <w:rPr>
        <w:rFonts w:ascii="Calibri Light" w:eastAsiaTheme="minorHAnsi" w:hAnsi="Calibri Light" w:cs="Calibri Ligh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0656E7B"/>
    <w:multiLevelType w:val="hybridMultilevel"/>
    <w:tmpl w:val="13703660"/>
    <w:lvl w:ilvl="0" w:tplc="783CFD9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4F04C29"/>
    <w:multiLevelType w:val="hybridMultilevel"/>
    <w:tmpl w:val="200CE97A"/>
    <w:lvl w:ilvl="0" w:tplc="2C24C72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44E4502"/>
    <w:multiLevelType w:val="hybridMultilevel"/>
    <w:tmpl w:val="CE58B892"/>
    <w:lvl w:ilvl="0" w:tplc="22EE497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42CF47B6"/>
    <w:multiLevelType w:val="hybridMultilevel"/>
    <w:tmpl w:val="CD5CE7C0"/>
    <w:lvl w:ilvl="0" w:tplc="E5D25DA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4AB70CBF"/>
    <w:multiLevelType w:val="hybridMultilevel"/>
    <w:tmpl w:val="99C246BE"/>
    <w:lvl w:ilvl="0" w:tplc="ED601E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B040A9"/>
    <w:multiLevelType w:val="hybridMultilevel"/>
    <w:tmpl w:val="7F044B2E"/>
    <w:lvl w:ilvl="0" w:tplc="C8AAD7D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8F211C6"/>
    <w:multiLevelType w:val="hybridMultilevel"/>
    <w:tmpl w:val="88CA42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D7BF2"/>
    <w:multiLevelType w:val="hybridMultilevel"/>
    <w:tmpl w:val="99780330"/>
    <w:lvl w:ilvl="0" w:tplc="45426A46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6CDE46A5"/>
    <w:multiLevelType w:val="hybridMultilevel"/>
    <w:tmpl w:val="B4406956"/>
    <w:lvl w:ilvl="0" w:tplc="ED601E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DC3B42"/>
    <w:multiLevelType w:val="hybridMultilevel"/>
    <w:tmpl w:val="F1FC1502"/>
    <w:lvl w:ilvl="0" w:tplc="4E22CFD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065101779">
    <w:abstractNumId w:val="2"/>
  </w:num>
  <w:num w:numId="2" w16cid:durableId="142166476">
    <w:abstractNumId w:val="6"/>
  </w:num>
  <w:num w:numId="3" w16cid:durableId="1502694540">
    <w:abstractNumId w:val="11"/>
  </w:num>
  <w:num w:numId="4" w16cid:durableId="1198852600">
    <w:abstractNumId w:val="5"/>
  </w:num>
  <w:num w:numId="5" w16cid:durableId="614216431">
    <w:abstractNumId w:val="1"/>
  </w:num>
  <w:num w:numId="6" w16cid:durableId="338234227">
    <w:abstractNumId w:val="7"/>
  </w:num>
  <w:num w:numId="7" w16cid:durableId="929774559">
    <w:abstractNumId w:val="10"/>
  </w:num>
  <w:num w:numId="8" w16cid:durableId="893201857">
    <w:abstractNumId w:val="3"/>
  </w:num>
  <w:num w:numId="9" w16cid:durableId="1015036693">
    <w:abstractNumId w:val="0"/>
  </w:num>
  <w:num w:numId="10" w16cid:durableId="867254493">
    <w:abstractNumId w:val="13"/>
  </w:num>
  <w:num w:numId="11" w16cid:durableId="975833628">
    <w:abstractNumId w:val="4"/>
  </w:num>
  <w:num w:numId="12" w16cid:durableId="339551819">
    <w:abstractNumId w:val="9"/>
  </w:num>
  <w:num w:numId="13" w16cid:durableId="1671442447">
    <w:abstractNumId w:val="8"/>
  </w:num>
  <w:num w:numId="14" w16cid:durableId="196379940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3D9"/>
    <w:rsid w:val="000B3EE1"/>
    <w:rsid w:val="000E4B70"/>
    <w:rsid w:val="001321DF"/>
    <w:rsid w:val="00194466"/>
    <w:rsid w:val="001E6806"/>
    <w:rsid w:val="00204DF8"/>
    <w:rsid w:val="00230EC3"/>
    <w:rsid w:val="002371D7"/>
    <w:rsid w:val="002C33D9"/>
    <w:rsid w:val="002E245B"/>
    <w:rsid w:val="00303474"/>
    <w:rsid w:val="00326380"/>
    <w:rsid w:val="003363E7"/>
    <w:rsid w:val="00352D22"/>
    <w:rsid w:val="003648B3"/>
    <w:rsid w:val="003845A0"/>
    <w:rsid w:val="003B0896"/>
    <w:rsid w:val="003B14CA"/>
    <w:rsid w:val="003F7DD7"/>
    <w:rsid w:val="004406F5"/>
    <w:rsid w:val="00443ED6"/>
    <w:rsid w:val="00483BBF"/>
    <w:rsid w:val="004B0B5F"/>
    <w:rsid w:val="005A079A"/>
    <w:rsid w:val="005A1579"/>
    <w:rsid w:val="005C175C"/>
    <w:rsid w:val="00650A34"/>
    <w:rsid w:val="006C72EC"/>
    <w:rsid w:val="006D0E51"/>
    <w:rsid w:val="006D5AC0"/>
    <w:rsid w:val="006F5FC7"/>
    <w:rsid w:val="00700789"/>
    <w:rsid w:val="007F11C8"/>
    <w:rsid w:val="00913A4D"/>
    <w:rsid w:val="0092215E"/>
    <w:rsid w:val="00931BD1"/>
    <w:rsid w:val="0096255C"/>
    <w:rsid w:val="00967104"/>
    <w:rsid w:val="00A33E0D"/>
    <w:rsid w:val="00A53B48"/>
    <w:rsid w:val="00A72407"/>
    <w:rsid w:val="00A759CE"/>
    <w:rsid w:val="00AE0CED"/>
    <w:rsid w:val="00B103FA"/>
    <w:rsid w:val="00B326CF"/>
    <w:rsid w:val="00B36F03"/>
    <w:rsid w:val="00B44790"/>
    <w:rsid w:val="00C42535"/>
    <w:rsid w:val="00C76AE5"/>
    <w:rsid w:val="00C8729C"/>
    <w:rsid w:val="00DF0FF2"/>
    <w:rsid w:val="00DF7220"/>
    <w:rsid w:val="00E6092C"/>
    <w:rsid w:val="00EB7F08"/>
    <w:rsid w:val="00F37768"/>
    <w:rsid w:val="00F40637"/>
    <w:rsid w:val="00F539D8"/>
    <w:rsid w:val="00FF1702"/>
    <w:rsid w:val="00FF6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A88E8"/>
  <w15:chartTrackingRefBased/>
  <w15:docId w15:val="{E5988932-211B-4BF0-9300-31F9305ED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2C33D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37768"/>
    <w:pPr>
      <w:ind w:left="720"/>
      <w:contextualSpacing/>
    </w:pPr>
  </w:style>
  <w:style w:type="table" w:styleId="Tabela-Siatka">
    <w:name w:val="Table Grid"/>
    <w:basedOn w:val="Standardowy"/>
    <w:uiPriority w:val="39"/>
    <w:rsid w:val="00483B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F7DD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F7DD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F7DD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766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8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73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757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B76842-287F-4801-A293-6BFDEA501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885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Przybyłkowicz</dc:creator>
  <cp:keywords/>
  <dc:description/>
  <cp:lastModifiedBy>Małgorzata Śmiechowicz</cp:lastModifiedBy>
  <cp:revision>2</cp:revision>
  <cp:lastPrinted>2021-03-17T11:24:00Z</cp:lastPrinted>
  <dcterms:created xsi:type="dcterms:W3CDTF">2023-05-17T08:21:00Z</dcterms:created>
  <dcterms:modified xsi:type="dcterms:W3CDTF">2023-05-17T08:21:00Z</dcterms:modified>
</cp:coreProperties>
</file>