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44E" w:rsidRPr="008E11E3" w:rsidRDefault="0087524A" w:rsidP="008E11E3">
      <w:pPr>
        <w:jc w:val="right"/>
        <w:rPr>
          <w:rFonts w:ascii="Cambria" w:hAnsi="Cambria" w:cs="Tahoma"/>
        </w:rPr>
      </w:pPr>
      <w:r w:rsidRPr="00906323">
        <w:rPr>
          <w:rFonts w:ascii="Cambria" w:hAnsi="Cambria" w:cs="Tahoma"/>
        </w:rPr>
        <w:t>T</w:t>
      </w:r>
      <w:r w:rsidR="00FC5536" w:rsidRPr="00906323">
        <w:rPr>
          <w:rFonts w:ascii="Cambria" w:hAnsi="Cambria" w:cs="Tahoma"/>
        </w:rPr>
        <w:t xml:space="preserve">omaszów Mazowiecki, </w:t>
      </w:r>
      <w:r w:rsidR="007A1B93" w:rsidRPr="00906323">
        <w:rPr>
          <w:rFonts w:ascii="Cambria" w:hAnsi="Cambria" w:cs="Tahoma"/>
        </w:rPr>
        <w:t xml:space="preserve">dnia </w:t>
      </w:r>
      <w:r w:rsidR="001C30AD">
        <w:rPr>
          <w:rFonts w:ascii="Cambria" w:hAnsi="Cambria" w:cs="Tahoma"/>
        </w:rPr>
        <w:t>12-08-2022</w:t>
      </w:r>
    </w:p>
    <w:p w:rsidR="00F0309C" w:rsidRPr="00906323" w:rsidRDefault="00F0309C" w:rsidP="00F0309C">
      <w:pPr>
        <w:spacing w:after="0" w:line="240" w:lineRule="auto"/>
        <w:jc w:val="right"/>
        <w:rPr>
          <w:rFonts w:ascii="Cambria" w:eastAsia="Calibri" w:hAnsi="Cambria" w:cs="Tahoma"/>
          <w:b/>
        </w:rPr>
      </w:pPr>
      <w:r w:rsidRPr="00906323">
        <w:rPr>
          <w:rFonts w:ascii="Cambria" w:eastAsia="Calibri" w:hAnsi="Cambria" w:cs="Tahoma"/>
          <w:b/>
        </w:rPr>
        <w:t>PYTANIE WYKONAWCY WRAZ Z ODPOWIEDZIĄ</w:t>
      </w:r>
    </w:p>
    <w:p w:rsidR="0087524A" w:rsidRPr="00906323" w:rsidRDefault="0087524A" w:rsidP="00357D10">
      <w:pPr>
        <w:spacing w:line="240" w:lineRule="auto"/>
        <w:jc w:val="both"/>
        <w:rPr>
          <w:rFonts w:ascii="Cambria" w:hAnsi="Cambria" w:cs="Tahoma"/>
          <w:b/>
        </w:rPr>
      </w:pPr>
    </w:p>
    <w:p w:rsidR="00626172" w:rsidRPr="005A7A90" w:rsidRDefault="00626172" w:rsidP="00626172">
      <w:pPr>
        <w:spacing w:after="0" w:line="240" w:lineRule="auto"/>
        <w:rPr>
          <w:rFonts w:ascii="Cambria" w:hAnsi="Cambria" w:cs="Tahoma"/>
          <w:b/>
          <w:sz w:val="18"/>
          <w:szCs w:val="18"/>
        </w:rPr>
      </w:pPr>
      <w:r w:rsidRPr="005A7A90">
        <w:rPr>
          <w:rFonts w:ascii="Cambria" w:hAnsi="Cambria" w:cs="Tahoma"/>
          <w:b/>
          <w:sz w:val="18"/>
          <w:szCs w:val="18"/>
        </w:rPr>
        <w:t>Numer postępowania: WRIK.271.1.32.2022.ZP</w:t>
      </w:r>
    </w:p>
    <w:p w:rsidR="00626172" w:rsidRPr="005A7A90" w:rsidRDefault="00626172" w:rsidP="00626172">
      <w:pPr>
        <w:spacing w:after="0" w:line="240" w:lineRule="auto"/>
        <w:rPr>
          <w:rFonts w:ascii="Cambria" w:hAnsi="Cambria" w:cs="ArialMT"/>
          <w:b/>
          <w:sz w:val="18"/>
          <w:szCs w:val="18"/>
        </w:rPr>
      </w:pPr>
      <w:r w:rsidRPr="005A7A90">
        <w:rPr>
          <w:rFonts w:ascii="Cambria" w:hAnsi="Cambria" w:cs="ArialMT"/>
          <w:b/>
          <w:sz w:val="18"/>
          <w:szCs w:val="18"/>
        </w:rPr>
        <w:t>Ogłoszenie nr 2022/BZP 00290915/01 z dnia 2022-08-04</w:t>
      </w:r>
    </w:p>
    <w:p w:rsidR="00626172" w:rsidRDefault="00626172" w:rsidP="00626172">
      <w:pPr>
        <w:spacing w:after="0" w:line="240" w:lineRule="auto"/>
        <w:rPr>
          <w:rFonts w:ascii="Cambria" w:hAnsi="Cambria"/>
          <w:b/>
          <w:sz w:val="18"/>
          <w:szCs w:val="18"/>
        </w:rPr>
      </w:pPr>
      <w:r w:rsidRPr="005A7A90">
        <w:rPr>
          <w:rFonts w:ascii="Cambria" w:hAnsi="Cambria" w:cs="Tahoma"/>
          <w:b/>
          <w:sz w:val="18"/>
          <w:szCs w:val="18"/>
        </w:rPr>
        <w:t xml:space="preserve">ID - miniportal: </w:t>
      </w:r>
      <w:r w:rsidRPr="005A7A90">
        <w:rPr>
          <w:rFonts w:ascii="Cambria" w:hAnsi="Cambria"/>
          <w:b/>
          <w:sz w:val="18"/>
          <w:szCs w:val="18"/>
        </w:rPr>
        <w:t>3d9169d8-682d-4d80-a0a4-626d31d4e185</w:t>
      </w:r>
    </w:p>
    <w:p w:rsidR="00626172" w:rsidRDefault="00626172" w:rsidP="00626172">
      <w:pPr>
        <w:spacing w:after="0" w:line="240" w:lineRule="auto"/>
        <w:rPr>
          <w:rFonts w:ascii="Cambria" w:hAnsi="Cambria"/>
          <w:b/>
          <w:sz w:val="18"/>
          <w:szCs w:val="18"/>
        </w:rPr>
      </w:pPr>
    </w:p>
    <w:p w:rsidR="00626172" w:rsidRPr="005A7A90" w:rsidRDefault="00626172" w:rsidP="00626172">
      <w:pPr>
        <w:spacing w:after="0" w:line="240" w:lineRule="auto"/>
        <w:rPr>
          <w:rFonts w:ascii="Cambria" w:hAnsi="Cambria"/>
          <w:b/>
          <w:sz w:val="18"/>
          <w:szCs w:val="18"/>
        </w:rPr>
      </w:pPr>
    </w:p>
    <w:p w:rsidR="00626172" w:rsidRPr="00EB7027" w:rsidRDefault="00626172" w:rsidP="00626172">
      <w:pPr>
        <w:spacing w:after="0" w:line="240" w:lineRule="auto"/>
        <w:rPr>
          <w:rFonts w:ascii="Cambria" w:hAnsi="Cambria" w:cs="Tahoma"/>
          <w:b/>
          <w:sz w:val="18"/>
          <w:szCs w:val="18"/>
        </w:rPr>
      </w:pPr>
    </w:p>
    <w:p w:rsidR="00626172" w:rsidRPr="001D1B47" w:rsidRDefault="00626172" w:rsidP="00626172">
      <w:pPr>
        <w:spacing w:after="0" w:line="240" w:lineRule="auto"/>
        <w:jc w:val="both"/>
        <w:rPr>
          <w:rFonts w:ascii="Cambria" w:hAnsi="Cambria" w:cs="Tahoma"/>
          <w:b/>
        </w:rPr>
      </w:pPr>
      <w:r w:rsidRPr="001D1B47">
        <w:rPr>
          <w:rFonts w:ascii="Cambria" w:hAnsi="Cambria" w:cs="Tahoma"/>
        </w:rPr>
        <w:t>Dotyczy postępowania o udzielnie zamówienia publicznego prowadzonego w trybie podstawowym na podstawie art. 275 pkt 1 ustawy z dnia  11 września 2019 r. Prawo zamówień publicznych pod nazwą</w:t>
      </w:r>
      <w:r w:rsidRPr="001D1B47">
        <w:rPr>
          <w:rFonts w:ascii="Cambria" w:hAnsi="Cambria" w:cs="Tahoma"/>
          <w:b/>
        </w:rPr>
        <w:t xml:space="preserve">:  </w:t>
      </w:r>
      <w:r w:rsidRPr="001D1B47">
        <w:rPr>
          <w:rFonts w:ascii="Cambria" w:hAnsi="Cambria" w:cs="Calibri"/>
          <w:b/>
          <w:bCs/>
          <w:color w:val="0070C0"/>
          <w:lang w:eastAsia="pl-PL"/>
        </w:rPr>
        <w:t>Budowa Żłobka przy ul. Kombatantów 5 w Tomaszowie Mazowieckim - w ramach zadania pn.</w:t>
      </w:r>
      <w:r w:rsidRPr="001D1B47">
        <w:rPr>
          <w:rFonts w:ascii="Cambria" w:hAnsi="Cambria" w:cs="Tahoma"/>
          <w:b/>
        </w:rPr>
        <w:t xml:space="preserve"> </w:t>
      </w:r>
      <w:r w:rsidRPr="001D1B47">
        <w:rPr>
          <w:rFonts w:ascii="Cambria" w:hAnsi="Cambria" w:cs="Calibri"/>
          <w:b/>
          <w:bCs/>
          <w:color w:val="0070C0"/>
          <w:lang w:eastAsia="pl-PL"/>
        </w:rPr>
        <w:t>„Adaptacja dokumentacji projektowej żłobka publicznego w lokalizacji przy ul. Kombatantów wraz z budową Żłobka”</w:t>
      </w:r>
      <w:r>
        <w:rPr>
          <w:rFonts w:ascii="Cambria" w:hAnsi="Cambria" w:cs="Calibri"/>
          <w:b/>
          <w:bCs/>
          <w:color w:val="0070C0"/>
          <w:lang w:eastAsia="pl-PL"/>
        </w:rPr>
        <w:t xml:space="preserve">                                               </w:t>
      </w:r>
      <w:r w:rsidRPr="00DF3387">
        <w:rPr>
          <w:rFonts w:ascii="Cambria" w:hAnsi="Cambria" w:cs="Calibri"/>
          <w:b/>
          <w:bCs/>
          <w:color w:val="FF0000"/>
          <w:lang w:eastAsia="pl-PL"/>
        </w:rPr>
        <w:t>– II POSTĘPOWANIE</w:t>
      </w:r>
    </w:p>
    <w:p w:rsidR="00626172" w:rsidRDefault="00626172" w:rsidP="00626172">
      <w:pPr>
        <w:spacing w:after="0" w:line="240" w:lineRule="auto"/>
        <w:rPr>
          <w:rFonts w:ascii="Cambria" w:hAnsi="Cambria" w:cs="Tahoma"/>
          <w:b/>
          <w:sz w:val="18"/>
          <w:szCs w:val="18"/>
        </w:rPr>
      </w:pPr>
    </w:p>
    <w:p w:rsidR="00626172" w:rsidRDefault="00626172" w:rsidP="00906323">
      <w:pPr>
        <w:spacing w:after="0" w:line="240" w:lineRule="auto"/>
        <w:jc w:val="both"/>
        <w:rPr>
          <w:rFonts w:ascii="Cambria" w:hAnsi="Cambria" w:cs="Tahoma"/>
          <w:b/>
        </w:rPr>
      </w:pPr>
    </w:p>
    <w:p w:rsidR="00626172" w:rsidRDefault="00626172" w:rsidP="00906323">
      <w:pPr>
        <w:spacing w:after="0" w:line="240" w:lineRule="auto"/>
        <w:jc w:val="both"/>
        <w:rPr>
          <w:rFonts w:ascii="Cambria" w:hAnsi="Cambria" w:cs="Tahoma"/>
          <w:b/>
        </w:rPr>
      </w:pPr>
    </w:p>
    <w:p w:rsidR="007F0651" w:rsidRPr="00906323" w:rsidRDefault="007F0651" w:rsidP="002B5B80">
      <w:pPr>
        <w:spacing w:after="0" w:line="240" w:lineRule="auto"/>
        <w:rPr>
          <w:rFonts w:ascii="Cambria" w:eastAsia="Calibri" w:hAnsi="Cambria" w:cs="Tahoma"/>
          <w:b/>
        </w:rPr>
      </w:pPr>
    </w:p>
    <w:p w:rsidR="00F0309C" w:rsidRPr="00906323" w:rsidRDefault="00F0309C" w:rsidP="007F0651">
      <w:pPr>
        <w:spacing w:after="0" w:line="240" w:lineRule="auto"/>
        <w:jc w:val="center"/>
        <w:rPr>
          <w:rFonts w:ascii="Cambria" w:eastAsia="Calibri" w:hAnsi="Cambria" w:cs="Tahoma"/>
          <w:b/>
        </w:rPr>
      </w:pPr>
      <w:r w:rsidRPr="00906323">
        <w:rPr>
          <w:rFonts w:ascii="Cambria" w:eastAsia="Calibri" w:hAnsi="Cambria" w:cs="Tahoma"/>
          <w:b/>
        </w:rPr>
        <w:t>PYTANIE WYKONAWCY WRAZ Z ODPOWIEDZIĄ</w:t>
      </w:r>
    </w:p>
    <w:p w:rsidR="00F0309C" w:rsidRPr="00906323" w:rsidRDefault="00F0309C" w:rsidP="007F0651">
      <w:pPr>
        <w:spacing w:after="0" w:line="240" w:lineRule="auto"/>
        <w:jc w:val="both"/>
        <w:rPr>
          <w:rFonts w:ascii="Cambria" w:eastAsia="Calibri" w:hAnsi="Cambria" w:cs="Tahoma"/>
          <w:b/>
        </w:rPr>
      </w:pPr>
    </w:p>
    <w:p w:rsidR="0087524A" w:rsidRPr="00906323" w:rsidRDefault="00F0309C" w:rsidP="00626172">
      <w:pPr>
        <w:spacing w:line="276" w:lineRule="auto"/>
        <w:jc w:val="both"/>
        <w:rPr>
          <w:rFonts w:ascii="Cambria" w:eastAsia="Calibri" w:hAnsi="Cambria" w:cs="Tahoma"/>
        </w:rPr>
      </w:pPr>
      <w:r w:rsidRPr="00906323">
        <w:rPr>
          <w:rFonts w:ascii="Cambria" w:eastAsia="Calibri" w:hAnsi="Cambria" w:cs="Tahoma"/>
        </w:rPr>
        <w:t xml:space="preserve">W imieniu Zamawiającego jakim jest Gmina Miasto Tomaszów Mazowiecki w związku               </w:t>
      </w:r>
      <w:r w:rsidR="00626172">
        <w:rPr>
          <w:rFonts w:ascii="Cambria" w:eastAsia="Calibri" w:hAnsi="Cambria" w:cs="Tahoma"/>
        </w:rPr>
        <w:t xml:space="preserve">                  </w:t>
      </w:r>
      <w:r w:rsidRPr="00906323">
        <w:rPr>
          <w:rFonts w:ascii="Cambria" w:eastAsia="Calibri" w:hAnsi="Cambria" w:cs="Tahoma"/>
        </w:rPr>
        <w:t>z wpływem zapytań do niniejszego postępowania mając na względzie art. 284 ust. 2 i 6 ustawy Prawo zamówień publicznych, udzielam wyjaśnień bez ujawnienia źródła zapytania zamieszczając je na stronie internetowej prowadzonego postępowania.</w:t>
      </w:r>
    </w:p>
    <w:p w:rsidR="007F0651" w:rsidRDefault="005E4E13" w:rsidP="00285157">
      <w:pPr>
        <w:spacing w:after="0" w:line="240" w:lineRule="auto"/>
        <w:jc w:val="both"/>
        <w:rPr>
          <w:rFonts w:ascii="Cambria" w:hAnsi="Cambria"/>
          <w:b/>
          <w:u w:val="single"/>
        </w:rPr>
      </w:pPr>
      <w:r>
        <w:rPr>
          <w:rFonts w:ascii="Cambria" w:hAnsi="Cambria"/>
          <w:b/>
          <w:u w:val="single"/>
        </w:rPr>
        <w:t>PYTANIA NR 2</w:t>
      </w:r>
      <w:r w:rsidR="007E3873">
        <w:rPr>
          <w:rFonts w:ascii="Cambria" w:hAnsi="Cambria"/>
          <w:b/>
          <w:u w:val="single"/>
        </w:rPr>
        <w:t xml:space="preserve"> (WPŁYW 8.08.2022 r., godz. 11:07 epuap)</w:t>
      </w:r>
    </w:p>
    <w:p w:rsidR="00626172" w:rsidRDefault="00626172" w:rsidP="00285157">
      <w:pPr>
        <w:spacing w:after="0" w:line="240" w:lineRule="auto"/>
        <w:jc w:val="both"/>
        <w:rPr>
          <w:rFonts w:ascii="Cambria" w:hAnsi="Cambria"/>
          <w:b/>
          <w:u w:val="single"/>
        </w:rPr>
      </w:pPr>
    </w:p>
    <w:p w:rsidR="00626172" w:rsidRPr="00626172" w:rsidRDefault="00626172" w:rsidP="00285157">
      <w:pPr>
        <w:spacing w:after="0" w:line="240" w:lineRule="auto"/>
        <w:jc w:val="both"/>
        <w:rPr>
          <w:rFonts w:ascii="Cambria" w:hAnsi="Cambria"/>
          <w:b/>
          <w:u w:val="single"/>
        </w:rPr>
      </w:pPr>
    </w:p>
    <w:p w:rsidR="007E3873" w:rsidRPr="007E3873" w:rsidRDefault="007E3873" w:rsidP="00F41638">
      <w:pPr>
        <w:spacing w:line="23" w:lineRule="atLeast"/>
        <w:jc w:val="both"/>
        <w:rPr>
          <w:rFonts w:ascii="Cambria" w:hAnsi="Cambria" w:cs="Calibri"/>
          <w:u w:val="single"/>
        </w:rPr>
      </w:pPr>
      <w:bookmarkStart w:id="0" w:name="_Hlk84849708"/>
      <w:r w:rsidRPr="007E3873">
        <w:rPr>
          <w:rFonts w:ascii="Cambria" w:hAnsi="Cambria" w:cs="Calibri"/>
        </w:rPr>
        <w:t>Działając w imieniu xxxxxxxxxxx w szczególności na podstawie art. 100 ust.4 i ust.5 Ustawy Prawo Zamówień Publicznych zwracam się z prośbą i wnoszę o potwierdzenie, że ekologiczna technologia drewniana prefabrykowana do wykonania konstrukcji kondygnacji nadziemnych budynku będzie traktowania za równoważną w przypadku udowodnienia przez wykonawcę, że proponowane rozwiązanie w równoważnym stopniu spełnia wymagania określone w opisie przedmiotu zamówienia i że w takim wypadku oferta Wykonawcy (pod warunkiem oczywiście wykazania równoważności) nie będzie podlegała odrzuceniu.</w:t>
      </w:r>
    </w:p>
    <w:p w:rsidR="007E3873" w:rsidRPr="007E3873" w:rsidRDefault="007E3873" w:rsidP="00F41638">
      <w:pPr>
        <w:spacing w:line="23" w:lineRule="atLeast"/>
        <w:jc w:val="both"/>
        <w:rPr>
          <w:rFonts w:ascii="Cambria" w:hAnsi="Cambria" w:cs="Calibri"/>
        </w:rPr>
      </w:pPr>
      <w:r w:rsidRPr="007E3873">
        <w:rPr>
          <w:rFonts w:ascii="Cambria" w:hAnsi="Cambria" w:cs="Calibri"/>
        </w:rPr>
        <w:t>Wniosek dotyczy nowoczesnej technologii opartej o konstrukcje z masywnego drewna wzdłużnie klejonego, izolowane materiałami ekologicznymi wraz z wykorzystaniem uodpornionych płyt włóknowo gipsowych.</w:t>
      </w:r>
    </w:p>
    <w:p w:rsidR="007E3873" w:rsidRPr="007E3873" w:rsidRDefault="007E3873" w:rsidP="007E3873">
      <w:pPr>
        <w:spacing w:line="23" w:lineRule="atLeast"/>
        <w:jc w:val="both"/>
        <w:rPr>
          <w:rFonts w:ascii="Cambria" w:hAnsi="Cambria" w:cs="Calibri"/>
        </w:rPr>
      </w:pPr>
      <w:r w:rsidRPr="007E3873">
        <w:rPr>
          <w:rFonts w:ascii="Cambria" w:hAnsi="Cambria" w:cs="Calibri"/>
          <w:b/>
          <w:bCs/>
          <w:u w:val="single"/>
        </w:rPr>
        <w:t xml:space="preserve">Wszelkie niezbędne dokumenty mówiące o odporności ogniowej ścian i stropów przebadane </w:t>
      </w:r>
      <w:r w:rsidR="00F41638">
        <w:rPr>
          <w:rFonts w:ascii="Cambria" w:hAnsi="Cambria" w:cs="Calibri"/>
          <w:b/>
          <w:bCs/>
          <w:u w:val="single"/>
        </w:rPr>
        <w:t xml:space="preserve"> </w:t>
      </w:r>
      <w:r w:rsidRPr="007E3873">
        <w:rPr>
          <w:rFonts w:ascii="Cambria" w:hAnsi="Cambria" w:cs="Calibri"/>
          <w:b/>
          <w:bCs/>
          <w:u w:val="single"/>
        </w:rPr>
        <w:t xml:space="preserve">są w Instytucie Techniki Budowlanej w Warszawie lub innej jednostki akredytowanej przez Polskie Centrum Akredytacji. </w:t>
      </w:r>
      <w:r w:rsidRPr="007E3873">
        <w:rPr>
          <w:rFonts w:ascii="Cambria" w:hAnsi="Cambria" w:cs="Calibri"/>
        </w:rPr>
        <w:t>Wykonawca dysponuje zatem dokumentami potwierdzającymi, że oferowane rozwiązanie jest równoważne pod względem odporności ogniowej w zakresie Rei30 oraz Rei30. Proponowana technologia gwarantuje także zachowanie innych parametrów równoważności gwarantujących możliwość wykonania przedmiotowego budynku w opisywanej technologii takich jak odporność ogniowa, nośność i sztywność konstrukcyjna oraz parametry (lepsze) izolacyjności termicznej.</w:t>
      </w:r>
    </w:p>
    <w:p w:rsidR="007E3873" w:rsidRPr="007E3873" w:rsidRDefault="007E3873" w:rsidP="007E3873">
      <w:pPr>
        <w:spacing w:line="23" w:lineRule="atLeast"/>
        <w:jc w:val="both"/>
        <w:rPr>
          <w:rFonts w:ascii="Cambria" w:hAnsi="Cambria" w:cs="Calibri"/>
          <w:color w:val="000000"/>
        </w:rPr>
      </w:pPr>
      <w:r w:rsidRPr="007E3873">
        <w:rPr>
          <w:rFonts w:ascii="Cambria" w:hAnsi="Cambria" w:cs="Calibri"/>
          <w:color w:val="000000"/>
        </w:rPr>
        <w:t>Przypomnieć należy, że zgodnie z art. 100 ust.4 PZP:</w:t>
      </w:r>
    </w:p>
    <w:p w:rsidR="007E3873" w:rsidRPr="007E3873" w:rsidRDefault="007E3873" w:rsidP="007E3873">
      <w:pPr>
        <w:spacing w:line="23" w:lineRule="atLeast"/>
        <w:jc w:val="both"/>
        <w:rPr>
          <w:rFonts w:ascii="Cambria" w:hAnsi="Cambria" w:cs="Calibri"/>
          <w:color w:val="000000"/>
        </w:rPr>
      </w:pPr>
      <w:r w:rsidRPr="007E3873">
        <w:rPr>
          <w:rFonts w:ascii="Cambria" w:hAnsi="Cambria" w:cs="Calibri"/>
          <w:color w:val="000000"/>
        </w:rPr>
        <w:t>Opisując przedmiot zamówienia przez odniesienie do norm, ocen technicznych, specyfikacji technicznych i systemów referencji technicznych, o których mowa w ust. 1 pkt 2 oraz ust. 3, zamawiający jest obowiązany wskazać, że dopuszcza rozwiązania równoważne opisywanym, a odniesieniu takiemu towarzyszą wyrazy "lub równoważne".</w:t>
      </w:r>
    </w:p>
    <w:p w:rsidR="007E3873" w:rsidRPr="007E3873" w:rsidRDefault="007E3873" w:rsidP="007E3873">
      <w:pPr>
        <w:spacing w:line="23" w:lineRule="atLeast"/>
        <w:jc w:val="both"/>
        <w:rPr>
          <w:rFonts w:ascii="Cambria" w:hAnsi="Cambria" w:cs="Calibri"/>
          <w:color w:val="000000"/>
        </w:rPr>
      </w:pPr>
    </w:p>
    <w:p w:rsidR="007E3873" w:rsidRPr="007E3873" w:rsidRDefault="007E3873" w:rsidP="007E3873">
      <w:pPr>
        <w:spacing w:line="23" w:lineRule="atLeast"/>
        <w:jc w:val="both"/>
        <w:rPr>
          <w:rFonts w:ascii="Cambria" w:hAnsi="Cambria" w:cs="Calibri"/>
          <w:color w:val="000000"/>
        </w:rPr>
      </w:pPr>
      <w:r w:rsidRPr="007E3873">
        <w:rPr>
          <w:rFonts w:ascii="Cambria" w:hAnsi="Cambria" w:cs="Calibri"/>
          <w:color w:val="000000"/>
        </w:rPr>
        <w:lastRenderedPageBreak/>
        <w:t>Przepis art. 100 ust.5 PZP przewiduje zaś, że:</w:t>
      </w:r>
    </w:p>
    <w:p w:rsidR="007E3873" w:rsidRPr="00F41638" w:rsidRDefault="007E3873" w:rsidP="00F41638">
      <w:pPr>
        <w:jc w:val="both"/>
        <w:rPr>
          <w:rFonts w:ascii="Cambria" w:hAnsi="Cambria" w:cs="Calibri"/>
          <w:b/>
          <w:bCs/>
          <w:color w:val="000000"/>
          <w:u w:val="single"/>
        </w:rPr>
      </w:pPr>
      <w:bookmarkStart w:id="1" w:name="mip59346885"/>
      <w:bookmarkEnd w:id="1"/>
      <w:r w:rsidRPr="007E3873">
        <w:rPr>
          <w:rFonts w:ascii="Cambria" w:hAnsi="Cambria" w:cs="Calibri"/>
          <w:color w:val="000000"/>
        </w:rPr>
        <w:t xml:space="preserve">W przypadku gdy opis przedmiotu zamówienia odnosi się do norm, ocen technicznych, specyfikacji technicznych i systemów referencji technicznych, o których mowa w ust. 1 pkt 2 oraz ust. 3, </w:t>
      </w:r>
      <w:r w:rsidRPr="007E3873">
        <w:rPr>
          <w:rFonts w:ascii="Cambria" w:hAnsi="Cambria" w:cs="Calibri"/>
          <w:b/>
          <w:bCs/>
          <w:color w:val="000000"/>
          <w:u w:val="single"/>
        </w:rPr>
        <w:t>zamawiający nie może odrzucić oferty tylko dlatego, że oferowane roboty budowlane, dostawy lub usługi nie są zgodne z normami, ocenami technicznymi, specyfikacjami technicznymi i systemami referencji technicznych</w:t>
      </w:r>
      <w:r w:rsidRPr="007E3873">
        <w:rPr>
          <w:rFonts w:ascii="Cambria" w:hAnsi="Cambria" w:cs="Calibri"/>
          <w:b/>
          <w:bCs/>
          <w:color w:val="000000"/>
        </w:rPr>
        <w:t xml:space="preserve">, do których opis przedmiotu zamówienia się odnosi, </w:t>
      </w:r>
      <w:r w:rsidRPr="007E3873">
        <w:rPr>
          <w:rFonts w:ascii="Cambria" w:hAnsi="Cambria" w:cs="Calibri"/>
          <w:b/>
          <w:bCs/>
          <w:color w:val="000000"/>
          <w:u w:val="single"/>
        </w:rPr>
        <w:t>pod warunkiem że wykonawca udowodni w ofercie</w:t>
      </w:r>
      <w:r w:rsidRPr="007E3873">
        <w:rPr>
          <w:rFonts w:ascii="Cambria" w:hAnsi="Cambria" w:cs="Calibri"/>
          <w:color w:val="000000"/>
        </w:rPr>
        <w:t xml:space="preserve">, w szczególności za pomocą przedmiotowych środków dowodowych, o których mowa w </w:t>
      </w:r>
      <w:hyperlink r:id="rId7" w:history="1">
        <w:r w:rsidRPr="007E3873">
          <w:rPr>
            <w:rStyle w:val="Hipercze"/>
            <w:rFonts w:ascii="Cambria" w:hAnsi="Cambria" w:cs="Calibri"/>
            <w:color w:val="000000"/>
          </w:rPr>
          <w:t>art. 104-107</w:t>
        </w:r>
      </w:hyperlink>
      <w:r w:rsidRPr="007E3873">
        <w:rPr>
          <w:rFonts w:ascii="Cambria" w:hAnsi="Cambria" w:cs="Calibri"/>
          <w:color w:val="000000"/>
        </w:rPr>
        <w:t xml:space="preserve">, </w:t>
      </w:r>
      <w:r w:rsidRPr="007E3873">
        <w:rPr>
          <w:rFonts w:ascii="Cambria" w:hAnsi="Cambria" w:cs="Calibri"/>
          <w:b/>
          <w:bCs/>
          <w:color w:val="000000"/>
          <w:u w:val="single"/>
        </w:rPr>
        <w:t>że proponowane rozwiązania w równoważnym stopniu spełniają wymagania określone w opisie przedmiotu zamówienia.</w:t>
      </w:r>
    </w:p>
    <w:p w:rsidR="007E3873" w:rsidRPr="007E3873" w:rsidRDefault="007E3873" w:rsidP="007E3873">
      <w:pPr>
        <w:spacing w:line="23" w:lineRule="atLeast"/>
        <w:jc w:val="both"/>
        <w:rPr>
          <w:rFonts w:ascii="Cambria" w:hAnsi="Cambria" w:cs="Calibri"/>
        </w:rPr>
      </w:pPr>
      <w:r w:rsidRPr="007E3873">
        <w:rPr>
          <w:rFonts w:ascii="Cambria" w:hAnsi="Cambria" w:cs="Calibri"/>
        </w:rPr>
        <w:t xml:space="preserve">Dopuszczenie technologii drewnianej prefabrykowanej jako rozwiązania równoważnego w żaden sposób nie wpłynie na przebieg postępowania oraz treść dokumentów w ramach przedmiotu postępowania. </w:t>
      </w:r>
    </w:p>
    <w:p w:rsidR="007E3873" w:rsidRPr="007E3873" w:rsidRDefault="007E3873" w:rsidP="007E3873">
      <w:pPr>
        <w:spacing w:line="23" w:lineRule="atLeast"/>
        <w:jc w:val="both"/>
        <w:rPr>
          <w:rFonts w:ascii="Cambria" w:hAnsi="Cambria" w:cs="Calibri"/>
        </w:rPr>
      </w:pPr>
      <w:r w:rsidRPr="007E3873">
        <w:rPr>
          <w:rFonts w:ascii="Cambria" w:hAnsi="Cambria" w:cs="Calibri"/>
        </w:rPr>
        <w:t>Zastosowanie równoważnej technologii wykonania obiektu etapie jest jak najbardziej możliwe, gdyż stanowi nieistotne odstąpienie od zatwierdzonego projektu budowlanego, ponieważ nie stanowi istotnej zmiany projektu. Wykonawca w ramach zawnioskowanej niniejszym pismem technologii wykona natomiast rewizję projektu wykonawczego i wykaże ją w dokumentacji powykonawczej. Takie działanie w żaden sposób nie wpłynie na czas realizacji inwestycji. Wręcz przeciwnie, ze względu na prefabrykowany charakter budynku, znacznie go skróci.</w:t>
      </w:r>
    </w:p>
    <w:p w:rsidR="007E3873" w:rsidRPr="007E3873" w:rsidRDefault="007E3873" w:rsidP="007E3873">
      <w:pPr>
        <w:spacing w:line="23" w:lineRule="atLeast"/>
        <w:jc w:val="both"/>
        <w:rPr>
          <w:rFonts w:ascii="Cambria" w:hAnsi="Cambria" w:cs="Calibri"/>
        </w:rPr>
      </w:pPr>
      <w:r w:rsidRPr="007E3873">
        <w:rPr>
          <w:rFonts w:ascii="Cambria" w:hAnsi="Cambria" w:cs="Calibri"/>
        </w:rPr>
        <w:t>Ważny podkreślenia jest fakt, że opisywane w niniejszym piśmie rozwiązanie równoważne dotyczyć będzie jedynie:</w:t>
      </w:r>
    </w:p>
    <w:p w:rsidR="007E3873" w:rsidRPr="007E3873" w:rsidRDefault="007E3873" w:rsidP="007E3873">
      <w:pPr>
        <w:spacing w:line="23" w:lineRule="atLeast"/>
        <w:ind w:left="708" w:firstLine="3"/>
        <w:jc w:val="both"/>
        <w:rPr>
          <w:rFonts w:ascii="Cambria" w:hAnsi="Cambria" w:cs="Calibri"/>
        </w:rPr>
      </w:pPr>
      <w:r w:rsidRPr="007E3873">
        <w:rPr>
          <w:rFonts w:ascii="Cambria" w:hAnsi="Cambria" w:cs="Calibri"/>
        </w:rPr>
        <w:t>- ścian zewnętrznych i wewnętrznych, gdzie zamiennie do projektu wykonane zostaną elementy oparte o konstrukcję drewniana wzdłużnie klejoną wraz z obudową płytą gipsowo włóknową typu DF dla zachowania odporności ogniowej Rei60</w:t>
      </w:r>
    </w:p>
    <w:p w:rsidR="007E3873" w:rsidRPr="007E3873" w:rsidRDefault="007E3873" w:rsidP="007E3873">
      <w:pPr>
        <w:spacing w:line="23" w:lineRule="atLeast"/>
        <w:ind w:left="708" w:firstLine="3"/>
        <w:jc w:val="both"/>
        <w:rPr>
          <w:rFonts w:ascii="Cambria" w:hAnsi="Cambria" w:cs="Calibri"/>
        </w:rPr>
      </w:pPr>
      <w:r w:rsidRPr="007E3873">
        <w:rPr>
          <w:rFonts w:ascii="Cambria" w:hAnsi="Cambria" w:cs="Calibri"/>
        </w:rPr>
        <w:t>- konstrukcję stropu/dachu płaskiego, gdzie zamiennie do projektu wykonane zostaną elementy oparte o konstrukcję drewnianą wzdłużnie klejoną wraz z obudową płytą gipsowo włóknową typu DF dla zachowania odporności ogniowej Rei60/Rei30</w:t>
      </w:r>
    </w:p>
    <w:p w:rsidR="007E3873" w:rsidRPr="007E3873" w:rsidRDefault="007E3873" w:rsidP="007E3873">
      <w:pPr>
        <w:spacing w:line="23" w:lineRule="atLeast"/>
        <w:jc w:val="both"/>
        <w:rPr>
          <w:rFonts w:ascii="Cambria" w:hAnsi="Cambria" w:cs="Calibri"/>
        </w:rPr>
      </w:pPr>
      <w:r w:rsidRPr="007E3873">
        <w:rPr>
          <w:rFonts w:ascii="Cambria" w:hAnsi="Cambria" w:cs="Calibri"/>
        </w:rPr>
        <w:t xml:space="preserve">Charakterystyczne parametry zaprojektowanego obiektu tj.: kubatura, powierzchnia zabudowy, wysokość, długość, szerokość i liczba kondygnacji obiektu budowlanego nie ulegną zmianie. Również zaprojektowane instalacje, materiały wykończeniowe pozostają zgodne z tymi opisanymi projektem z ew. niewielką korektą. Opisywana technologia równoważna nie dotyka także pozostałych elementów technologicznych jak choćby stolarka otworowa, instalacje czy materiały wykończeniowe. </w:t>
      </w:r>
    </w:p>
    <w:p w:rsidR="007E3873" w:rsidRPr="007E3873" w:rsidRDefault="007E3873" w:rsidP="00F41638">
      <w:pPr>
        <w:spacing w:line="23" w:lineRule="atLeast"/>
        <w:jc w:val="both"/>
        <w:rPr>
          <w:rFonts w:ascii="Cambria" w:hAnsi="Cambria" w:cs="Calibri"/>
        </w:rPr>
      </w:pPr>
      <w:r w:rsidRPr="007E3873">
        <w:rPr>
          <w:rFonts w:ascii="Cambria" w:hAnsi="Cambria" w:cs="Calibri"/>
        </w:rPr>
        <w:t xml:space="preserve">Poza </w:t>
      </w:r>
      <w:r w:rsidRPr="007E3873">
        <w:rPr>
          <w:rFonts w:ascii="Cambria" w:hAnsi="Cambria" w:cs="Calibri"/>
          <w:b/>
          <w:bCs/>
        </w:rPr>
        <w:t>atutem jakim jest czas realizacji inwestycji</w:t>
      </w:r>
      <w:r w:rsidRPr="007E3873">
        <w:rPr>
          <w:rFonts w:ascii="Cambria" w:hAnsi="Cambria" w:cs="Calibri"/>
        </w:rPr>
        <w:t xml:space="preserve">, technologia drewniana prefabrykowana nie zaniża parametrów nośnych, wytrzymałościowych, konstrukcyjnych, cieplnych, użytkowych oraz wizualnych. Co więcej szereg z nich zostanie spełnionych w większym stopniu, bardziej korzystnym, a dodatkowo budynki wykonane w tej technologii charakteryzują się </w:t>
      </w:r>
      <w:r w:rsidRPr="007E3873">
        <w:rPr>
          <w:rFonts w:ascii="Cambria" w:hAnsi="Cambria" w:cs="Calibri"/>
          <w:b/>
          <w:bCs/>
        </w:rPr>
        <w:t>o 60% mniejszymi kosztami utrzymania (są to obiekty niskoenergetyczne)</w:t>
      </w:r>
      <w:r w:rsidRPr="007E3873">
        <w:rPr>
          <w:rFonts w:ascii="Cambria" w:hAnsi="Cambria" w:cs="Calibri"/>
        </w:rPr>
        <w:t xml:space="preserve"> – szczególnie przy uwzględnieniu </w:t>
      </w:r>
      <w:r w:rsidRPr="007E3873">
        <w:rPr>
          <w:rFonts w:ascii="Cambria" w:hAnsi="Cambria" w:cs="Calibri"/>
          <w:u w:val="single"/>
        </w:rPr>
        <w:t>kosztów w całym cyklu życia budynku</w:t>
      </w:r>
      <w:r w:rsidRPr="007E3873">
        <w:rPr>
          <w:rFonts w:ascii="Cambria" w:hAnsi="Cambria" w:cs="Calibri"/>
        </w:rPr>
        <w:t xml:space="preserve">, a nie tylko przez pryzmat ceny nabycia. Niewątpliwie ze względu na wykorzystanie ekologicznych materiałów i na dyfuzyjnie otwarty charakter obiektu (oddycha) mikroklimat wewnątrz obiektu jest znacznie przyjaźniejszy od tego jaki występuje </w:t>
      </w:r>
      <w:r w:rsidRPr="007E3873">
        <w:rPr>
          <w:rFonts w:ascii="Cambria" w:hAnsi="Cambria" w:cs="Calibri"/>
        </w:rPr>
        <w:br/>
        <w:t xml:space="preserve">w obiektach żelbetowych. Potwierdzają to obecni użytkownicy obiektów wykonanych w naszej technologii. Proponowana technologia </w:t>
      </w:r>
      <w:r w:rsidRPr="007E3873">
        <w:rPr>
          <w:rFonts w:ascii="Cambria" w:hAnsi="Cambria" w:cs="Calibri"/>
          <w:color w:val="000000"/>
        </w:rPr>
        <w:t>w równoważnym stopniu spełnia wymagania określone w opisie przedmiotu zamówienia, a nawet daje Zamawiającemu dodatkowe korzyści.</w:t>
      </w:r>
    </w:p>
    <w:bookmarkEnd w:id="0"/>
    <w:p w:rsidR="007E3873" w:rsidRPr="007E3873" w:rsidRDefault="007E3873" w:rsidP="007E3873">
      <w:pPr>
        <w:spacing w:line="23" w:lineRule="atLeast"/>
        <w:jc w:val="both"/>
        <w:rPr>
          <w:rFonts w:ascii="Cambria" w:hAnsi="Cambria" w:cs="Calibri"/>
        </w:rPr>
      </w:pPr>
      <w:r w:rsidRPr="007E3873">
        <w:rPr>
          <w:rFonts w:ascii="Cambria" w:hAnsi="Cambria" w:cs="Calibri"/>
        </w:rPr>
        <w:t>Proponowana przez nas technologia charakteryzuje się n/w cechami:</w:t>
      </w:r>
    </w:p>
    <w:p w:rsidR="007E3873" w:rsidRPr="007E3873" w:rsidRDefault="007E3873" w:rsidP="007E3873">
      <w:pPr>
        <w:spacing w:line="23" w:lineRule="atLeast"/>
        <w:jc w:val="both"/>
        <w:rPr>
          <w:rFonts w:ascii="Cambria" w:hAnsi="Cambria" w:cs="Calibri"/>
        </w:rPr>
      </w:pPr>
      <w:r w:rsidRPr="007E3873">
        <w:rPr>
          <w:rFonts w:ascii="Cambria" w:hAnsi="Cambria" w:cs="Calibri"/>
          <w:b/>
        </w:rPr>
        <w:t>- konstrukcja drewniana</w:t>
      </w:r>
      <w:r w:rsidRPr="007E3873">
        <w:rPr>
          <w:rFonts w:ascii="Cambria" w:hAnsi="Cambria" w:cs="Calibri"/>
        </w:rPr>
        <w:t xml:space="preserve"> tak zwana „masywna konstrukcja niemiecką” wykonana z drewna klejonego KVH o najmniejszym przekroju elementów konstrukcyjnych 200x60mm.</w:t>
      </w:r>
    </w:p>
    <w:p w:rsidR="007E3873" w:rsidRPr="007E3873" w:rsidRDefault="007E3873" w:rsidP="007E3873">
      <w:pPr>
        <w:spacing w:line="23" w:lineRule="atLeast"/>
        <w:jc w:val="both"/>
        <w:rPr>
          <w:rFonts w:ascii="Cambria" w:hAnsi="Cambria" w:cs="Calibri"/>
        </w:rPr>
      </w:pPr>
      <w:r w:rsidRPr="007E3873">
        <w:rPr>
          <w:rFonts w:ascii="Cambria" w:hAnsi="Cambria" w:cs="Calibri"/>
          <w:b/>
        </w:rPr>
        <w:lastRenderedPageBreak/>
        <w:t>- materiały izolacyjne</w:t>
      </w:r>
      <w:r w:rsidRPr="007E3873">
        <w:rPr>
          <w:rFonts w:ascii="Cambria" w:hAnsi="Cambria" w:cs="Calibri"/>
        </w:rPr>
        <w:t xml:space="preserve"> użyte w naszej technologii to materiały ekologiczne, wykonane z włókien drzewnych</w:t>
      </w:r>
    </w:p>
    <w:p w:rsidR="007E3873" w:rsidRPr="007E3873" w:rsidRDefault="007E3873" w:rsidP="00F41638">
      <w:pPr>
        <w:spacing w:line="23" w:lineRule="atLeast"/>
        <w:jc w:val="both"/>
        <w:rPr>
          <w:rFonts w:ascii="Cambria" w:hAnsi="Cambria" w:cs="Calibri"/>
        </w:rPr>
      </w:pPr>
      <w:r w:rsidRPr="007E3873">
        <w:rPr>
          <w:rFonts w:ascii="Cambria" w:hAnsi="Cambria" w:cs="Calibri"/>
        </w:rPr>
        <w:t xml:space="preserve">- </w:t>
      </w:r>
      <w:r w:rsidRPr="007E3873">
        <w:rPr>
          <w:rFonts w:ascii="Cambria" w:hAnsi="Cambria" w:cs="Calibri"/>
          <w:b/>
          <w:bCs/>
        </w:rPr>
        <w:t xml:space="preserve">płyty poszywające ściany zewnętrzne jak i wewnętrzne – </w:t>
      </w:r>
      <w:r w:rsidRPr="007E3873">
        <w:rPr>
          <w:rFonts w:ascii="Cambria" w:hAnsi="Cambria" w:cs="Calibri"/>
        </w:rPr>
        <w:t>wnioskowana technologia zakłada wzmacniane płyty gipsowo włóknowe.</w:t>
      </w:r>
    </w:p>
    <w:p w:rsidR="007E3873" w:rsidRPr="007E3873" w:rsidRDefault="007E3873" w:rsidP="007E3873">
      <w:pPr>
        <w:jc w:val="both"/>
        <w:rPr>
          <w:rFonts w:ascii="Cambria" w:hAnsi="Cambria" w:cs="Calibri"/>
        </w:rPr>
      </w:pPr>
      <w:r w:rsidRPr="007E3873">
        <w:rPr>
          <w:rFonts w:ascii="Cambria" w:hAnsi="Cambria" w:cs="Calibri"/>
        </w:rPr>
        <w:t xml:space="preserve">Możliwość dopuszczenia rozwiązania równoważnego w zakresie technologii, o którym mowa powyżej, jest dopuszczalna na gruncie PZP. W doktrynie prawa zamówień publicznych stanowczo wskazuje się, że należy pamiętać, że rozwiązanie równoważne nie jest rozwiązaniem tożsamym z opisanym w przedmiocie zamówienia: "W pierwszej kolejności, Izba podtrzymuje i uznaje za własne, pojęcie równoważności przedstawione przez odwołującego". Istotnie: "(…) </w:t>
      </w:r>
      <w:r w:rsidRPr="007E3873">
        <w:rPr>
          <w:rFonts w:ascii="Cambria" w:hAnsi="Cambria" w:cs="Calibri"/>
          <w:b/>
          <w:bCs/>
        </w:rPr>
        <w:t>oferta równoważna to taka, która przedstawia produkt, który nie jest identyczny, tożsamy z produktem referencyjnym, ale posiada pewne, istotne dla zamawiającego, zbliżone do produktu referencyjnego cechy i parametry</w:t>
      </w:r>
      <w:r w:rsidRPr="007E3873">
        <w:rPr>
          <w:rFonts w:ascii="Cambria" w:hAnsi="Cambria" w:cs="Calibri"/>
        </w:rPr>
        <w:t xml:space="preserve">. Pojęcie równoważności bowiem nie może oznaczać tożsamości produktów, ponieważ przeczyłoby to istocie oferowania produktów równoważnych i czyniłoby możliwość oferowania produktów równoważnych pozorną i w praktyce niemożliwą do spełnienia. Zaś rozwiązanie równoważne nie może oznaczać, że inne zaproponowane w ramach tej równoważności urządzenie ma spełniać wszystkie parametry konkretnego urządzenia, określonego producenta, przyjętego przez projektanta, gdyż naruszałoby to zasadę równego traktowania wykonawców i uczciwej konkurencji. (…)" (za wyr. z 19.3.2010 r., KIO 189/10, https://orzeczenia.uzp.gov.pl). W sytuacji odmiennej technologii jest niemożliwym zachowanie wszystkich parametrów technicznych i jakościowych na zasadzie zero-jedynkowej względem technologii referencyjnej, preferowanej przez zamawiającego, gdyż ze swej istoty technologie są odmienne, z uwagi na zastosowanie odmiennych rozwiązań technologicznych. </w:t>
      </w:r>
      <w:r w:rsidRPr="007E3873">
        <w:rPr>
          <w:rFonts w:ascii="Cambria" w:hAnsi="Cambria" w:cs="Calibri"/>
          <w:color w:val="000000"/>
        </w:rPr>
        <w:t xml:space="preserve">Powyższe ma miejsce w przedmiotowym stanie faktycznym, zaoferowana technologia przez odwołującego, a ściślej instalacja o określonej technologii, wykorzystuje bowiem te same procesy i mechanizmy, co instalacja w technologii referencyjnej, choć niewątpliwie rozwiązania technologiczne są ze swej istoty różne (wyr. KIO z 9.7.2013 r., </w:t>
      </w:r>
      <w:hyperlink r:id="rId8" w:history="1">
        <w:r w:rsidRPr="007E3873">
          <w:rPr>
            <w:rStyle w:val="Hipercze"/>
            <w:rFonts w:ascii="Cambria" w:hAnsi="Cambria" w:cs="Calibri"/>
            <w:color w:val="000000"/>
          </w:rPr>
          <w:t>KIO 1458/13</w:t>
        </w:r>
      </w:hyperlink>
      <w:r w:rsidRPr="007E3873">
        <w:rPr>
          <w:rFonts w:ascii="Cambria" w:hAnsi="Cambria" w:cs="Calibri"/>
          <w:color w:val="000000"/>
        </w:rPr>
        <w:t xml:space="preserve">, Legalis). Również wyr. KIO z 8.7.2013 r., </w:t>
      </w:r>
      <w:hyperlink r:id="rId9" w:history="1">
        <w:r w:rsidRPr="007E3873">
          <w:rPr>
            <w:rStyle w:val="Hipercze"/>
            <w:rFonts w:ascii="Cambria" w:hAnsi="Cambria" w:cs="Calibri"/>
            <w:color w:val="000000"/>
          </w:rPr>
          <w:t>KIO 1483/13</w:t>
        </w:r>
      </w:hyperlink>
      <w:r w:rsidRPr="007E3873">
        <w:rPr>
          <w:rFonts w:ascii="Cambria" w:hAnsi="Cambria" w:cs="Calibri"/>
          <w:color w:val="000000"/>
        </w:rPr>
        <w:t>, Legalis: "Wyrób równoważny nie musi się charakteryzować w pełni identycznymi cechami i parametrami jak produkt opisany wprost w SWZ. Nie powinien jednak mieć pogorszonych właściwości, a przede wszystkim, jeżeli stanowi element wyposażenia</w:t>
      </w:r>
      <w:r w:rsidRPr="007E3873">
        <w:rPr>
          <w:rFonts w:ascii="Cambria" w:hAnsi="Cambria" w:cs="Calibri"/>
        </w:rPr>
        <w:t xml:space="preserve">, czy część zamienną maszyn górniczych, jakimi są przenośniki zgrzebłowe, stosowane w podziemnych wyrobiskach górniczych, winien gwarantować możliwość bezpiecznego i kompatybilnego zastosowania do tego celu we wskazanych typach przenośników, dla jakich zostały owe rynny i elementy zapotrzebowane. </w:t>
      </w:r>
      <w:r w:rsidRPr="007E3873">
        <w:rPr>
          <w:rFonts w:ascii="Cambria" w:hAnsi="Cambria" w:cs="Calibri"/>
          <w:u w:val="single"/>
        </w:rPr>
        <w:t>Wykonawca, którego oferta zostanie wybrana jako najkorzystniejsza, zobowiązany będzie każdorazowo przed przystąpieniem do realizacji zamówienia, do konsultacji szczegółów technicznych wykonania przedmiotu dostawy</w:t>
      </w:r>
      <w:r w:rsidRPr="007E3873">
        <w:rPr>
          <w:rFonts w:ascii="Cambria" w:hAnsi="Cambria" w:cs="Calibri"/>
        </w:rPr>
        <w:t xml:space="preserve"> z zakładem górniczym podanym w zleceniu zamawiającego".</w:t>
      </w:r>
    </w:p>
    <w:p w:rsidR="007E3873" w:rsidRPr="007E3873" w:rsidRDefault="007E3873" w:rsidP="00F41638">
      <w:pPr>
        <w:spacing w:line="23" w:lineRule="atLeast"/>
        <w:jc w:val="both"/>
        <w:rPr>
          <w:rFonts w:ascii="Cambria" w:hAnsi="Cambria" w:cs="Calibri"/>
        </w:rPr>
      </w:pPr>
      <w:r w:rsidRPr="007E3873">
        <w:rPr>
          <w:rFonts w:ascii="Cambria" w:hAnsi="Cambria" w:cs="Calibri"/>
        </w:rPr>
        <w:t>Dopuszczenie technologii drewnianej prefabrykowanej do wykonania konstrukcji kondygnacji nadziemnych budynku jest atrakcyjną alternatywą do konstrukcji opisanej projektem budowlanym oraz spowoduje jednocześnie rozszerzenie kręgu potencjalnych wykonawców. Zwiększy to konkurencyjność prowadzonego postępowania, co spowoduje lepszą realizacją celów stawianych przed podmiotami publicznymi w ustawie prawo zamówień publicznych.</w:t>
      </w:r>
    </w:p>
    <w:p w:rsidR="007E3873" w:rsidRPr="007E3873" w:rsidRDefault="007E3873" w:rsidP="007E3873">
      <w:pPr>
        <w:ind w:firstLine="708"/>
        <w:jc w:val="both"/>
        <w:rPr>
          <w:rFonts w:ascii="Cambria" w:hAnsi="Cambria" w:cs="Calibri"/>
          <w:b/>
        </w:rPr>
      </w:pPr>
      <w:r w:rsidRPr="007E3873">
        <w:rPr>
          <w:rFonts w:ascii="Cambria" w:hAnsi="Cambria" w:cs="Calibri"/>
          <w:b/>
        </w:rPr>
        <w:t>Reasumując, prosimy o potwierdzenie, że:</w:t>
      </w:r>
    </w:p>
    <w:p w:rsidR="007E3873" w:rsidRPr="007E3873" w:rsidRDefault="007E3873" w:rsidP="007E3873">
      <w:pPr>
        <w:numPr>
          <w:ilvl w:val="0"/>
          <w:numId w:val="8"/>
        </w:numPr>
        <w:spacing w:after="0" w:line="240" w:lineRule="auto"/>
        <w:jc w:val="both"/>
        <w:rPr>
          <w:rFonts w:ascii="Cambria" w:hAnsi="Cambria" w:cs="Calibri"/>
          <w:b/>
        </w:rPr>
      </w:pPr>
      <w:r w:rsidRPr="007E3873">
        <w:rPr>
          <w:rFonts w:ascii="Cambria" w:hAnsi="Cambria" w:cs="Calibri"/>
          <w:b/>
        </w:rPr>
        <w:t>technologia drewniana prefabrykowana do wykonania konstrukcji kondygnacji nadziemnych budynku będzie uznana za równoważną w przypadku udowodnienia przez wykonawcę, że proponowane rozwiązanie w równoważnym stopniu spełnia wymagania określone w opisie przedmiotu zamówienia,</w:t>
      </w:r>
    </w:p>
    <w:p w:rsidR="007E3873" w:rsidRPr="007E3873" w:rsidRDefault="007E3873" w:rsidP="007E3873">
      <w:pPr>
        <w:numPr>
          <w:ilvl w:val="0"/>
          <w:numId w:val="8"/>
        </w:numPr>
        <w:spacing w:after="0" w:line="240" w:lineRule="auto"/>
        <w:jc w:val="both"/>
        <w:rPr>
          <w:rFonts w:ascii="Cambria" w:hAnsi="Cambria" w:cs="Calibri"/>
          <w:b/>
        </w:rPr>
      </w:pPr>
      <w:r w:rsidRPr="007E3873">
        <w:rPr>
          <w:rFonts w:ascii="Cambria" w:hAnsi="Cambria" w:cs="Calibri"/>
          <w:b/>
        </w:rPr>
        <w:t>oferta Wykonawcy obejmująca w/w technologię nie będzie podlegała odrzuceniu (pod warunkiem wykazania równoważności),</w:t>
      </w:r>
    </w:p>
    <w:p w:rsidR="007E3873" w:rsidRPr="007E3873" w:rsidRDefault="007E3873" w:rsidP="007E3873">
      <w:pPr>
        <w:numPr>
          <w:ilvl w:val="0"/>
          <w:numId w:val="8"/>
        </w:numPr>
        <w:spacing w:after="0" w:line="240" w:lineRule="auto"/>
        <w:jc w:val="both"/>
        <w:rPr>
          <w:rFonts w:ascii="Cambria" w:hAnsi="Cambria" w:cs="Calibri"/>
          <w:b/>
        </w:rPr>
      </w:pPr>
      <w:r w:rsidRPr="007E3873">
        <w:rPr>
          <w:rFonts w:ascii="Cambria" w:hAnsi="Cambria" w:cs="Calibri"/>
          <w:b/>
        </w:rPr>
        <w:t>parametry równoważności dla w/w rozwiązania to: odporność ogniowa, nośność i sztywność konstrukcyjna oraz parametry (lepsze) izolacyjności termicznej.</w:t>
      </w:r>
    </w:p>
    <w:p w:rsidR="007E3873" w:rsidRDefault="007E3873" w:rsidP="00626172">
      <w:pPr>
        <w:spacing w:after="0" w:line="240" w:lineRule="auto"/>
        <w:rPr>
          <w:rFonts w:ascii="Cambria" w:eastAsia="Times New Roman" w:hAnsi="Cambria" w:cs="Times New Roman"/>
          <w:lang w:eastAsia="pl-PL"/>
        </w:rPr>
      </w:pPr>
    </w:p>
    <w:p w:rsidR="001D6A6C" w:rsidRDefault="001D6A6C" w:rsidP="008E11E3">
      <w:pPr>
        <w:spacing w:after="0" w:line="240" w:lineRule="auto"/>
        <w:ind w:left="705" w:hanging="705"/>
        <w:jc w:val="both"/>
        <w:rPr>
          <w:rFonts w:ascii="Cambria" w:eastAsia="Times New Roman" w:hAnsi="Cambria" w:cs="Times New Roman"/>
          <w:lang w:eastAsia="pl-PL"/>
        </w:rPr>
      </w:pPr>
    </w:p>
    <w:p w:rsidR="00CB02D5" w:rsidRDefault="006F6F57" w:rsidP="008E11E3">
      <w:pPr>
        <w:rPr>
          <w:rFonts w:ascii="Cambria" w:hAnsi="Cambria"/>
          <w:b/>
          <w:u w:val="single"/>
        </w:rPr>
      </w:pPr>
      <w:r w:rsidRPr="00EA1ADC">
        <w:rPr>
          <w:rFonts w:ascii="Cambria" w:hAnsi="Cambria"/>
          <w:b/>
          <w:u w:val="single"/>
        </w:rPr>
        <w:t>ODPOWIEDŹ:</w:t>
      </w:r>
    </w:p>
    <w:p w:rsidR="001C30AD" w:rsidRPr="001C30AD" w:rsidRDefault="001C30AD" w:rsidP="001C30AD">
      <w:pPr>
        <w:pStyle w:val="NormalnyWeb"/>
        <w:spacing w:line="276" w:lineRule="auto"/>
        <w:ind w:firstLine="426"/>
        <w:jc w:val="both"/>
        <w:rPr>
          <w:rFonts w:ascii="Cambria" w:hAnsi="Cambria"/>
          <w:sz w:val="22"/>
          <w:szCs w:val="22"/>
        </w:rPr>
      </w:pPr>
      <w:bookmarkStart w:id="2" w:name="_GoBack"/>
      <w:bookmarkEnd w:id="2"/>
      <w:r w:rsidRPr="001C30AD">
        <w:rPr>
          <w:rFonts w:ascii="Cambria" w:hAnsi="Cambria"/>
          <w:sz w:val="22"/>
          <w:szCs w:val="22"/>
        </w:rPr>
        <w:t>W odpowiedzi na pytanie wykonawcy dotyczące dopuszczenia/uznania prze zamawiającego za równoważną, w stosunku do założonej w projekcie, technologii drewnianej do wykonania konstrukcji nadziemnych budynku żłobka, zamawiający informuje, iż nie dopuszcza wskazanej przez wykonawcę technologii jako równoważnej a tym samym jej zastosowania w realizacji przedmiotu zamówienia. Zamawiający poprzez projekt wskazał w sposób jednoznaczny i nie budzący wątpliwości oczekiwania co  technologii w jakiej wykonany zostanie budynek żłobka. Założona technologia jest technologią powszechną, nie naruszająca konkurencji rynkowej, nie ogranicza kręgu podmiotów do których skierowane jest zamówienie oraz materiałów, które mogą zostać w jej ramach zastosowane także jako równoważne np. cegła, pustak itp. W tym miejscu należy przypomnieć, iż to wyłączną kompetencją zamawiającego jest wybór określnych rozwiązań technologicznych, materiałowych, funkcjonalnych i użytkowych jakie ma spełniać oczekiwany przez niego przedmiot zamówienia. Jedynym ograniczeniem jest zachowanie zasad uczciwej konkurencji. Oczekiwania co do obiektu zamawiający skonkretyzował zamawiając projekt budowlany i wskazując w nim technologię budowy. Jak wspominano na wstępnie zarówno technologia jak i zastosowane rozwiązania, materiały i urządzenia są powszechnie dostępne na rynku i nie naruszają zasad konkurencyjności. Na marginesie zamawiający wskazuje, iż wykonawca błędnie przywołał podstawę prawną w złożonym wniosku i jego uzasadnieniu gdyż prawdopodobnie chodzi o art. 101 ust. 4 i ust. 5 ustawy Prawo zamówień publicznych.</w:t>
      </w:r>
    </w:p>
    <w:p w:rsidR="001C30AD" w:rsidRPr="001C30AD" w:rsidRDefault="001C30AD" w:rsidP="001C30AD">
      <w:pPr>
        <w:pStyle w:val="NormalnyWeb"/>
        <w:spacing w:line="276" w:lineRule="auto"/>
        <w:ind w:firstLine="426"/>
        <w:jc w:val="both"/>
        <w:rPr>
          <w:rFonts w:ascii="Cambria" w:hAnsi="Cambria"/>
          <w:sz w:val="22"/>
          <w:szCs w:val="22"/>
        </w:rPr>
      </w:pPr>
      <w:r w:rsidRPr="001C30AD">
        <w:rPr>
          <w:rFonts w:ascii="Cambria" w:hAnsi="Cambria"/>
          <w:sz w:val="22"/>
          <w:szCs w:val="22"/>
        </w:rPr>
        <w:t>Zdaniem zamawiającego oczekiwanie wykonawcy wykracza poza wniosek co do dopuszczenia i uznania jako równoważne innych niż założone w projekcie materiałów, urządzeń ale dotyczy złożenia oferty zawierającej</w:t>
      </w:r>
      <w:r w:rsidR="00FB72C6">
        <w:rPr>
          <w:rFonts w:ascii="Cambria" w:hAnsi="Cambria"/>
          <w:sz w:val="22"/>
          <w:szCs w:val="22"/>
        </w:rPr>
        <w:t xml:space="preserve"> </w:t>
      </w:r>
      <w:r w:rsidRPr="001C30AD">
        <w:rPr>
          <w:rFonts w:ascii="Cambria" w:hAnsi="Cambria"/>
          <w:sz w:val="22"/>
          <w:szCs w:val="22"/>
        </w:rPr>
        <w:t>zupełnie inne rozwiązania techniczne i technologiczne. Mamy więc do czynienia całkowitą modyfikacją projektu min. w zakresie konstrukcji czyli kluczowych jej elementów. Nie sposób zgodzić się z twierdzeniem wykonawcy, iż wprowadzenie tego rodzaju zmiany technologicznej jest traktowane każdorazowo jako zmiana nieistotna od zatwierdzonego przez organ administracji budowlanej projektu budowlanego a wystarczającym do jej wprowadzenia będzie rewizja projektu budowlanego i opracowanie przez wykonawcę odpowiedniej dokumentacji powykonawczej. Należy wskazać, iż zgodnie z obowiązującymi przepisami</w:t>
      </w:r>
      <w:r w:rsidR="00FB72C6">
        <w:rPr>
          <w:rFonts w:ascii="Cambria" w:hAnsi="Cambria"/>
          <w:sz w:val="22"/>
          <w:szCs w:val="22"/>
        </w:rPr>
        <w:t xml:space="preserve"> </w:t>
      </w:r>
      <w:r w:rsidRPr="001C30AD">
        <w:rPr>
          <w:rFonts w:ascii="Cambria" w:hAnsi="Cambria"/>
          <w:sz w:val="22"/>
          <w:szCs w:val="22"/>
        </w:rPr>
        <w:t>uprawnienie do określenia wprowadzanych w trakcie robót zmian jako istotnych lub nieistotnych jest uprawnieniem wyłącznie projektantka, autora projektu czyli nadzoru autorskiego,</w:t>
      </w:r>
      <w:r w:rsidR="00FB72C6">
        <w:rPr>
          <w:rFonts w:ascii="Cambria" w:hAnsi="Cambria"/>
          <w:sz w:val="22"/>
          <w:szCs w:val="22"/>
        </w:rPr>
        <w:t xml:space="preserve"> </w:t>
      </w:r>
      <w:r w:rsidRPr="001C30AD">
        <w:rPr>
          <w:rFonts w:ascii="Cambria" w:hAnsi="Cambria"/>
          <w:sz w:val="22"/>
          <w:szCs w:val="22"/>
        </w:rPr>
        <w:t>nie zaś wykonawcy. Obowiązki i uprawnienia w tym zakresie są spersonalizowane. Dodatkowo dokonane zmiany pod kątem ich ewentualnej istotności ocenia każdorazowo Powiatowy/Wojewódzki Inspektor Nadzoru Budowlanego na etapie procedury wydawania decyzji o pozwoleniu na użytkowanie obiektu.</w:t>
      </w:r>
      <w:r w:rsidR="00FB72C6">
        <w:rPr>
          <w:rFonts w:ascii="Cambria" w:hAnsi="Cambria"/>
          <w:sz w:val="22"/>
          <w:szCs w:val="22"/>
        </w:rPr>
        <w:t xml:space="preserve"> </w:t>
      </w:r>
      <w:r w:rsidRPr="001C30AD">
        <w:rPr>
          <w:rFonts w:ascii="Cambria" w:hAnsi="Cambria"/>
          <w:sz w:val="22"/>
          <w:szCs w:val="22"/>
        </w:rPr>
        <w:t xml:space="preserve">Pozwolenie na budowę wydawane jest w oparciu o projekt i określone rozwiązania w nim przyjęte. Trudno oczekiwać, iż autor projektu w ślad za oczekiwaniami wykonawcy uzna zmiany konstrukcyjne automatycznie jako nieistotne. Tego rodzaju zmiana wymaga istotnej ingerencji w projekt, dokonania odpowiednich przeliczeń itp. </w:t>
      </w:r>
    </w:p>
    <w:p w:rsidR="001C30AD" w:rsidRPr="001C30AD" w:rsidRDefault="001C30AD" w:rsidP="001C30AD">
      <w:pPr>
        <w:pStyle w:val="NormalnyWeb"/>
        <w:spacing w:line="276" w:lineRule="auto"/>
        <w:ind w:firstLine="426"/>
        <w:jc w:val="both"/>
        <w:rPr>
          <w:rFonts w:ascii="Cambria" w:hAnsi="Cambria"/>
          <w:i/>
          <w:sz w:val="22"/>
          <w:szCs w:val="22"/>
        </w:rPr>
      </w:pPr>
      <w:r w:rsidRPr="001C30AD">
        <w:rPr>
          <w:rFonts w:ascii="Cambria" w:hAnsi="Cambria"/>
          <w:sz w:val="22"/>
          <w:szCs w:val="22"/>
        </w:rPr>
        <w:t>Kluczowym w dokonanej analizie zakresu wniosku wykonawcy jest uznanie czy jest to wniosek w zakresie równoważności czy też wariantowości oferty. Zdaniem zamawiającego zastosowanie zupełnie innej technologii w jakiej powstanie budynek i w jakiej prowadzone będą roboty budowlane wskazuje, iż mamy do czynienia nie z wnioskiem o dopuszczenie rozwiązania równoważnego ale z wnioskiem co do dopuszczenia złożenia oferty wariantowej.</w:t>
      </w:r>
      <w:r w:rsidR="00FB72C6">
        <w:rPr>
          <w:rFonts w:ascii="Cambria" w:hAnsi="Cambria"/>
          <w:sz w:val="22"/>
          <w:szCs w:val="22"/>
        </w:rPr>
        <w:t xml:space="preserve"> </w:t>
      </w:r>
      <w:r w:rsidRPr="001C30AD">
        <w:rPr>
          <w:rFonts w:ascii="Cambria" w:hAnsi="Cambria"/>
          <w:sz w:val="22"/>
          <w:szCs w:val="22"/>
        </w:rPr>
        <w:t xml:space="preserve">Przez ofertę wariantową należy bowiem rozumieć ofertę przewidującą odmienny niż określony przez zamawiającego sposób wykonania zamówienia. Wniosek wykonawcy wpisuje się we wskazaną i powszechnie uznawaną w piśmiennictwie, doktrynie i orzecznictwie definicję oferty </w:t>
      </w:r>
      <w:r w:rsidRPr="001C30AD">
        <w:rPr>
          <w:rFonts w:ascii="Cambria" w:hAnsi="Cambria"/>
          <w:sz w:val="22"/>
          <w:szCs w:val="22"/>
        </w:rPr>
        <w:lastRenderedPageBreak/>
        <w:t>wariantowej</w:t>
      </w:r>
      <w:r w:rsidR="00FB72C6">
        <w:rPr>
          <w:rFonts w:ascii="Cambria" w:hAnsi="Cambria"/>
          <w:sz w:val="22"/>
          <w:szCs w:val="22"/>
        </w:rPr>
        <w:t xml:space="preserve"> </w:t>
      </w:r>
      <w:r w:rsidRPr="001C30AD">
        <w:rPr>
          <w:rFonts w:ascii="Cambria" w:hAnsi="Cambria"/>
          <w:sz w:val="22"/>
          <w:szCs w:val="22"/>
        </w:rPr>
        <w:t>gdyż jego uwzględnię prowadziłoby do konieczności porównania ofert zawierających odmienny sposób realizacji zamówienia, czyli ofert określających inną technologię budowy obiektu.</w:t>
      </w:r>
      <w:r w:rsidR="00FB72C6">
        <w:rPr>
          <w:rFonts w:ascii="Cambria" w:hAnsi="Cambria"/>
          <w:sz w:val="22"/>
          <w:szCs w:val="22"/>
        </w:rPr>
        <w:t xml:space="preserve"> </w:t>
      </w:r>
      <w:r w:rsidRPr="001C30AD">
        <w:rPr>
          <w:rFonts w:ascii="Cambria" w:hAnsi="Cambria"/>
          <w:sz w:val="22"/>
          <w:szCs w:val="22"/>
        </w:rPr>
        <w:t xml:space="preserve">Jak wskazuje się w doktrynie (Skubiszak-Kalinowska Irena, Wiktorowska Ewa, Prawo zamówień publicznych. Komentarz aktualizowany, LEX/el. 2020): </w:t>
      </w:r>
      <w:r w:rsidRPr="001C30AD">
        <w:rPr>
          <w:rFonts w:ascii="Cambria" w:hAnsi="Cambria"/>
          <w:i/>
          <w:sz w:val="22"/>
          <w:szCs w:val="22"/>
        </w:rPr>
        <w:t xml:space="preserve">„w przypadku gdy zamawiający dopuścił lub postawił wymóg składania ofert wariantowych, wykonawca może przykładowo zaproponować stosowanie innych materiałów, niż przewidywał zamawiający, albo rozwiązań technicznych, których zamawiający nie przewidział, opisując sposób wykonania zamówienia. </w:t>
      </w:r>
      <w:r w:rsidRPr="001C30AD">
        <w:rPr>
          <w:rFonts w:ascii="Cambria" w:hAnsi="Cambria"/>
          <w:sz w:val="22"/>
          <w:szCs w:val="22"/>
        </w:rPr>
        <w:t>Należy</w:t>
      </w:r>
      <w:r w:rsidR="00FB72C6">
        <w:rPr>
          <w:rFonts w:ascii="Cambria" w:hAnsi="Cambria"/>
          <w:sz w:val="22"/>
          <w:szCs w:val="22"/>
        </w:rPr>
        <w:t xml:space="preserve"> </w:t>
      </w:r>
      <w:r w:rsidRPr="001C30AD">
        <w:rPr>
          <w:rFonts w:ascii="Cambria" w:hAnsi="Cambria"/>
          <w:sz w:val="22"/>
          <w:szCs w:val="22"/>
        </w:rPr>
        <w:t>więc odróżnić złożenie oferty wariantowej od zaoferowania rozwiązania równoważnego, ponieważ jeśli zamawiający opisze przedmiot zamówienia przez wskazanie znaków towarowych, patentów lub pochodzenia z dopiskiem „lub równoważne”, to zaoferowanie przez wykonawcę równoważnych rozwiązań nie stanowi oferty wariantowej. W niemniejszym przypadku z tego rodzaju opisem nie mamy do czynienia. Nie ma wątpliwości, iż wniosek wykonawcy prowadzi do oczekiwania, iż zamawiający dopuści możliwość innego sposobu realizacji przedmiotu umowy, w oparciu o inną technologię i materiały, jest więc wnioskiem o realizację zamówienia w innym niż założono wariancie.</w:t>
      </w:r>
    </w:p>
    <w:p w:rsidR="001C30AD" w:rsidRPr="001C30AD" w:rsidRDefault="001C30AD" w:rsidP="001C30AD">
      <w:pPr>
        <w:pStyle w:val="NormalnyWeb"/>
        <w:spacing w:line="276" w:lineRule="auto"/>
        <w:ind w:firstLine="426"/>
        <w:jc w:val="both"/>
        <w:rPr>
          <w:rFonts w:ascii="Cambria" w:hAnsi="Cambria"/>
          <w:sz w:val="22"/>
          <w:szCs w:val="22"/>
        </w:rPr>
      </w:pPr>
      <w:r w:rsidRPr="001C30AD">
        <w:rPr>
          <w:rFonts w:ascii="Cambria" w:hAnsi="Cambria"/>
          <w:sz w:val="22"/>
          <w:szCs w:val="22"/>
        </w:rPr>
        <w:t xml:space="preserve">Oferty wariantowe obejmujące różne rozwiązania i metody ,,dojścia” do efektu jakim jest obiekt budowlany wymagają ich porównania i oceny, wobec czego w razie dopuszczenia możliwości składania ofert wariantowych konieczne jest ustalenie, poza kryterium ceny, innych kryteriów wyboru odnoszących się do przedmiotu zamówienia. Jak wskazano w komentarzu (Dzierżanowski Włodzimierz, Jerzykowski Jarosław, Stachowiak Małgorzata, Prawo zamówień publicznych. Komentarz, wyd. VII, WKP 2018): </w:t>
      </w:r>
      <w:r w:rsidRPr="001C30AD">
        <w:rPr>
          <w:rFonts w:ascii="Cambria" w:hAnsi="Cambria"/>
          <w:i/>
          <w:sz w:val="22"/>
          <w:szCs w:val="22"/>
        </w:rPr>
        <w:t>„takimi minimalnymi warunkami mogą być zarówno niezbędne wymogi techniczne stawiane wobec przedmiotu zamówienia, jak i np. wymagania w zakresie uciążliwości dla środowiska lub najczęściej spotykane minimalne wymogi w zakresie funkcjonalności i efektu, jaki ma być uzyskany w wyniku realizacji zamówienia”.</w:t>
      </w:r>
      <w:r w:rsidR="00FB72C6">
        <w:rPr>
          <w:rFonts w:ascii="Cambria" w:hAnsi="Cambria"/>
          <w:i/>
          <w:sz w:val="22"/>
          <w:szCs w:val="22"/>
        </w:rPr>
        <w:t xml:space="preserve"> </w:t>
      </w:r>
      <w:r w:rsidRPr="001C30AD">
        <w:rPr>
          <w:rFonts w:ascii="Cambria" w:hAnsi="Cambria"/>
          <w:sz w:val="22"/>
          <w:szCs w:val="22"/>
        </w:rPr>
        <w:t>Jednakże aby do takiego porówna mogło dojść zamawiający musi dopuścić możliwość składania ofert wariantowych, czego konsekwencją są dodatkowe kryteria wyboru.</w:t>
      </w:r>
      <w:r w:rsidR="00FB72C6">
        <w:rPr>
          <w:rFonts w:ascii="Cambria" w:hAnsi="Cambria"/>
          <w:sz w:val="22"/>
          <w:szCs w:val="22"/>
        </w:rPr>
        <w:t xml:space="preserve"> </w:t>
      </w:r>
      <w:r w:rsidRPr="001C30AD">
        <w:rPr>
          <w:rFonts w:ascii="Cambria" w:hAnsi="Cambria"/>
          <w:sz w:val="22"/>
          <w:szCs w:val="22"/>
        </w:rPr>
        <w:t>Złożenie oferty wariantowej polega więc na zaoferowaniu przez wykonawcę wykonania przedmiotu zamówienia w sposób odmienny niż określony w dokumentach zamówienia. Odmienność może odnosić się zarówno do przedmiotu zamówienia jako całości, jak i do niektórych jego elementów (KIO 1115/13). Odmienny sposób realizacji zamówienia nie oznacza dowolności, bowiem musi pozostawać zgodny z warunkami realizacji zamówienia określonymi w SWZ.</w:t>
      </w:r>
      <w:r w:rsidR="00FB72C6">
        <w:rPr>
          <w:rFonts w:ascii="Cambria" w:hAnsi="Cambria"/>
          <w:sz w:val="22"/>
          <w:szCs w:val="22"/>
        </w:rPr>
        <w:t xml:space="preserve"> </w:t>
      </w:r>
      <w:r w:rsidRPr="001C30AD">
        <w:rPr>
          <w:rFonts w:ascii="Cambria" w:hAnsi="Cambria"/>
          <w:sz w:val="22"/>
          <w:szCs w:val="22"/>
        </w:rPr>
        <w:t>Odmienność sposobu realizacji zamówienia może wiązać się np. z użyciem odmiennych choć równoważnych materiałów, zastosowaniem innej technologii bądź rozwiązań technicznych, wyposażenia itp. (zob. KIO/UZP 395/08). Dopuszczalność złożenia oferty wariantowej nie oznacza jednak możliwości zaoferowania innego, zamiennego przedmiotu zamówienia ani też kilku sposobów realizacji zamówienia.</w:t>
      </w:r>
    </w:p>
    <w:p w:rsidR="001C30AD" w:rsidRPr="001C30AD" w:rsidRDefault="001C30AD" w:rsidP="001C30AD">
      <w:pPr>
        <w:pStyle w:val="NormalnyWeb"/>
        <w:spacing w:line="276" w:lineRule="auto"/>
        <w:ind w:firstLine="426"/>
        <w:jc w:val="both"/>
        <w:rPr>
          <w:rFonts w:ascii="Cambria" w:hAnsi="Cambria"/>
          <w:sz w:val="22"/>
          <w:szCs w:val="22"/>
          <w:u w:val="single"/>
        </w:rPr>
      </w:pPr>
      <w:r w:rsidRPr="001C30AD">
        <w:rPr>
          <w:rFonts w:ascii="Cambria" w:hAnsi="Cambria"/>
          <w:sz w:val="22"/>
          <w:szCs w:val="22"/>
        </w:rPr>
        <w:t xml:space="preserve">Warto podkreślić, że możliwość złożenia oferty wariantowej zależy od wyłącznej decyzji zamawiającego, której nie musi on uzasadniać. Wykonawca nie może zatem samodzielnie zdecydować o złożeniu oferty wariantowej, jeżeli zamawiający nie upoważnił go do tego </w:t>
      </w:r>
      <w:r w:rsidRPr="001C30AD">
        <w:rPr>
          <w:rFonts w:ascii="Cambria" w:hAnsi="Cambria"/>
          <w:sz w:val="22"/>
          <w:szCs w:val="22"/>
        </w:rPr>
        <w:br/>
        <w:t>w ogłoszeniu o zamówieniu lub dokumentach zamówienia.</w:t>
      </w:r>
      <w:r w:rsidR="00FB72C6">
        <w:rPr>
          <w:rFonts w:ascii="Cambria" w:hAnsi="Cambria"/>
          <w:sz w:val="22"/>
          <w:szCs w:val="22"/>
        </w:rPr>
        <w:t xml:space="preserve"> </w:t>
      </w:r>
      <w:r w:rsidRPr="001C30AD">
        <w:rPr>
          <w:rFonts w:ascii="Cambria" w:hAnsi="Cambria"/>
          <w:sz w:val="22"/>
          <w:szCs w:val="22"/>
          <w:u w:val="single"/>
        </w:rPr>
        <w:t>W niniejszym zamówieniu publicznym zamawiający w dokumentach zamówienia, zarówno w rozdziale 25 SWZ jak i w sekcji VI 6.1 ogłoszeniu o zamówieniu wskazał, iż nie dopuszcza składania ofert wariantowych.</w:t>
      </w:r>
    </w:p>
    <w:p w:rsidR="007A1CCA" w:rsidRPr="001C30AD" w:rsidRDefault="001C30AD" w:rsidP="001C30AD">
      <w:pPr>
        <w:pStyle w:val="NormalnyWeb"/>
        <w:spacing w:line="276" w:lineRule="auto"/>
        <w:ind w:firstLine="426"/>
        <w:jc w:val="both"/>
        <w:rPr>
          <w:rFonts w:ascii="Cambria" w:hAnsi="Cambria"/>
          <w:sz w:val="22"/>
          <w:szCs w:val="22"/>
        </w:rPr>
      </w:pPr>
      <w:r w:rsidRPr="001C30AD">
        <w:rPr>
          <w:rFonts w:ascii="Cambria" w:hAnsi="Cambria"/>
          <w:sz w:val="22"/>
          <w:szCs w:val="22"/>
        </w:rPr>
        <w:t>Mając na uwadze powyższe zamawiający nie przychyla się do wniosku wykonawcy.</w:t>
      </w:r>
    </w:p>
    <w:p w:rsidR="0087524A" w:rsidRPr="001C30AD" w:rsidRDefault="00F0309C" w:rsidP="002B5B80">
      <w:pPr>
        <w:spacing w:after="0" w:line="240" w:lineRule="auto"/>
        <w:jc w:val="both"/>
        <w:rPr>
          <w:rFonts w:ascii="Cambria" w:eastAsia="Times New Roman" w:hAnsi="Cambria" w:cs="Tahoma"/>
          <w:b/>
          <w:lang w:eastAsia="pl-PL"/>
        </w:rPr>
      </w:pPr>
      <w:r w:rsidRPr="001C30AD">
        <w:rPr>
          <w:rFonts w:ascii="Cambria" w:eastAsia="Times New Roman" w:hAnsi="Cambria" w:cs="Tahoma"/>
          <w:b/>
          <w:lang w:eastAsia="pl-PL"/>
        </w:rPr>
        <w:t>Udzielone wyjaśnienia są wiążące dla wykonawców.</w:t>
      </w:r>
    </w:p>
    <w:p w:rsidR="005C61A5" w:rsidRPr="001C30AD" w:rsidRDefault="005C61A5" w:rsidP="00285157">
      <w:pPr>
        <w:jc w:val="both"/>
        <w:rPr>
          <w:rFonts w:ascii="Cambria" w:hAnsi="Cambria"/>
        </w:rPr>
      </w:pPr>
    </w:p>
    <w:sectPr w:rsidR="005C61A5" w:rsidRPr="001C30AD" w:rsidSect="008E11E3">
      <w:headerReference w:type="default" r:id="rId10"/>
      <w:footerReference w:type="default" r:id="rId11"/>
      <w:pgSz w:w="11906" w:h="16838"/>
      <w:pgMar w:top="284" w:right="1417" w:bottom="851"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18AB" w:rsidRDefault="00AB18AB" w:rsidP="005C61A5">
      <w:pPr>
        <w:spacing w:after="0" w:line="240" w:lineRule="auto"/>
      </w:pPr>
      <w:r>
        <w:separator/>
      </w:r>
    </w:p>
  </w:endnote>
  <w:endnote w:type="continuationSeparator" w:id="1">
    <w:p w:rsidR="00AB18AB" w:rsidRDefault="00AB18AB"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525222"/>
      <w:docPartObj>
        <w:docPartGallery w:val="Page Numbers (Bottom of Page)"/>
        <w:docPartUnique/>
      </w:docPartObj>
    </w:sdtPr>
    <w:sdtContent>
      <w:p w:rsidR="00A32F32" w:rsidRDefault="009E4BBE">
        <w:pPr>
          <w:pStyle w:val="Stopka"/>
          <w:jc w:val="right"/>
        </w:pPr>
        <w:r>
          <w:fldChar w:fldCharType="begin"/>
        </w:r>
        <w:r w:rsidR="00A32F32">
          <w:instrText>PAGE   \* MERGEFORMAT</w:instrText>
        </w:r>
        <w:r>
          <w:fldChar w:fldCharType="separate"/>
        </w:r>
        <w:r w:rsidR="00FB72C6">
          <w:rPr>
            <w:noProof/>
          </w:rPr>
          <w:t>2</w:t>
        </w:r>
        <w:r>
          <w:fldChar w:fldCharType="end"/>
        </w:r>
      </w:p>
    </w:sdtContent>
  </w:sdt>
  <w:p w:rsidR="00DE1F76" w:rsidRDefault="00DE1F7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18AB" w:rsidRDefault="00AB18AB" w:rsidP="005C61A5">
      <w:pPr>
        <w:spacing w:after="0" w:line="240" w:lineRule="auto"/>
      </w:pPr>
      <w:r>
        <w:separator/>
      </w:r>
    </w:p>
  </w:footnote>
  <w:footnote w:type="continuationSeparator" w:id="1">
    <w:p w:rsidR="00AB18AB" w:rsidRDefault="00AB18AB"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A3A" w:rsidRDefault="00E84A3A">
    <w:pPr>
      <w:pStyle w:val="Nagwek"/>
    </w:pPr>
  </w:p>
  <w:p w:rsidR="00E84A3A" w:rsidRDefault="00E84A3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50B139C"/>
    <w:multiLevelType w:val="hybridMultilevel"/>
    <w:tmpl w:val="D73CA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0D7BDD"/>
    <w:multiLevelType w:val="hybridMultilevel"/>
    <w:tmpl w:val="78885736"/>
    <w:lvl w:ilvl="0" w:tplc="0415000F">
      <w:start w:val="1"/>
      <w:numFmt w:val="decimal"/>
      <w:lvlText w:val="%1."/>
      <w:lvlJc w:val="left"/>
      <w:pPr>
        <w:tabs>
          <w:tab w:val="num" w:pos="1288"/>
        </w:tabs>
        <w:ind w:left="1288" w:hanging="360"/>
      </w:pPr>
      <w:rPr>
        <w:rFonts w:hint="default"/>
        <w:b w:val="0"/>
        <w:i w:val="0"/>
        <w:color w:val="auto"/>
      </w:rPr>
    </w:lvl>
    <w:lvl w:ilvl="1" w:tplc="04150019">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3">
    <w:nsid w:val="1ACE17F3"/>
    <w:multiLevelType w:val="multilevel"/>
    <w:tmpl w:val="F21C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B275F4"/>
    <w:multiLevelType w:val="multilevel"/>
    <w:tmpl w:val="CF743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A3F7CAA"/>
    <w:multiLevelType w:val="hybridMultilevel"/>
    <w:tmpl w:val="97FE8CD8"/>
    <w:lvl w:ilvl="0" w:tplc="A49EB6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A8311BF"/>
    <w:multiLevelType w:val="multilevel"/>
    <w:tmpl w:val="EFDC7B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4"/>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35842"/>
  </w:hdrShapeDefaults>
  <w:footnotePr>
    <w:footnote w:id="0"/>
    <w:footnote w:id="1"/>
  </w:footnotePr>
  <w:endnotePr>
    <w:endnote w:id="0"/>
    <w:endnote w:id="1"/>
  </w:endnotePr>
  <w:compat/>
  <w:rsids>
    <w:rsidRoot w:val="005C61A5"/>
    <w:rsid w:val="0000286C"/>
    <w:rsid w:val="00003610"/>
    <w:rsid w:val="00021C76"/>
    <w:rsid w:val="0009064A"/>
    <w:rsid w:val="000A2F11"/>
    <w:rsid w:val="000A606A"/>
    <w:rsid w:val="000B6567"/>
    <w:rsid w:val="000E14E6"/>
    <w:rsid w:val="00132DF0"/>
    <w:rsid w:val="00144CDC"/>
    <w:rsid w:val="001B7887"/>
    <w:rsid w:val="001B7E99"/>
    <w:rsid w:val="001C30AD"/>
    <w:rsid w:val="001D1B47"/>
    <w:rsid w:val="001D6A6C"/>
    <w:rsid w:val="001F0A95"/>
    <w:rsid w:val="00231BBF"/>
    <w:rsid w:val="002830C8"/>
    <w:rsid w:val="00285157"/>
    <w:rsid w:val="002A2F89"/>
    <w:rsid w:val="002B5B80"/>
    <w:rsid w:val="002E319A"/>
    <w:rsid w:val="002F507C"/>
    <w:rsid w:val="00357D10"/>
    <w:rsid w:val="003755B4"/>
    <w:rsid w:val="003812D2"/>
    <w:rsid w:val="003B5AE6"/>
    <w:rsid w:val="003C7D0D"/>
    <w:rsid w:val="003F6A65"/>
    <w:rsid w:val="0040436B"/>
    <w:rsid w:val="00412320"/>
    <w:rsid w:val="004128AF"/>
    <w:rsid w:val="00433774"/>
    <w:rsid w:val="0045378B"/>
    <w:rsid w:val="004A34D5"/>
    <w:rsid w:val="004B0C86"/>
    <w:rsid w:val="004D64B1"/>
    <w:rsid w:val="004F1517"/>
    <w:rsid w:val="004F7E56"/>
    <w:rsid w:val="005149B9"/>
    <w:rsid w:val="00542273"/>
    <w:rsid w:val="00544791"/>
    <w:rsid w:val="00546587"/>
    <w:rsid w:val="0055443D"/>
    <w:rsid w:val="00562F17"/>
    <w:rsid w:val="00584854"/>
    <w:rsid w:val="005904A0"/>
    <w:rsid w:val="005B1A37"/>
    <w:rsid w:val="005C3BE9"/>
    <w:rsid w:val="005C61A5"/>
    <w:rsid w:val="005D020C"/>
    <w:rsid w:val="005E4E13"/>
    <w:rsid w:val="00622B18"/>
    <w:rsid w:val="00626172"/>
    <w:rsid w:val="00660D60"/>
    <w:rsid w:val="0067535D"/>
    <w:rsid w:val="006E2E32"/>
    <w:rsid w:val="006F6F57"/>
    <w:rsid w:val="007A1B93"/>
    <w:rsid w:val="007A1CCA"/>
    <w:rsid w:val="007C504D"/>
    <w:rsid w:val="007D73B3"/>
    <w:rsid w:val="007E3873"/>
    <w:rsid w:val="007F0651"/>
    <w:rsid w:val="008214FC"/>
    <w:rsid w:val="00853553"/>
    <w:rsid w:val="0087186B"/>
    <w:rsid w:val="0087524A"/>
    <w:rsid w:val="0089114B"/>
    <w:rsid w:val="00897D98"/>
    <w:rsid w:val="008A2E67"/>
    <w:rsid w:val="008C2231"/>
    <w:rsid w:val="008E11E3"/>
    <w:rsid w:val="008F4315"/>
    <w:rsid w:val="00906323"/>
    <w:rsid w:val="009121A1"/>
    <w:rsid w:val="009318C2"/>
    <w:rsid w:val="00936964"/>
    <w:rsid w:val="00955C60"/>
    <w:rsid w:val="0097515A"/>
    <w:rsid w:val="009C0F8F"/>
    <w:rsid w:val="009C7CDD"/>
    <w:rsid w:val="009D3365"/>
    <w:rsid w:val="009E4BBE"/>
    <w:rsid w:val="00A0365F"/>
    <w:rsid w:val="00A12471"/>
    <w:rsid w:val="00A32F32"/>
    <w:rsid w:val="00A617AB"/>
    <w:rsid w:val="00A938D2"/>
    <w:rsid w:val="00AA0759"/>
    <w:rsid w:val="00AB18AB"/>
    <w:rsid w:val="00AC0C82"/>
    <w:rsid w:val="00AC2AA2"/>
    <w:rsid w:val="00AC69EC"/>
    <w:rsid w:val="00AE48D9"/>
    <w:rsid w:val="00B16D5F"/>
    <w:rsid w:val="00B80F27"/>
    <w:rsid w:val="00BB444E"/>
    <w:rsid w:val="00BB7474"/>
    <w:rsid w:val="00BD3F65"/>
    <w:rsid w:val="00BE5A6A"/>
    <w:rsid w:val="00BF07E6"/>
    <w:rsid w:val="00BF5AF0"/>
    <w:rsid w:val="00C030E6"/>
    <w:rsid w:val="00C403A4"/>
    <w:rsid w:val="00C45BED"/>
    <w:rsid w:val="00C65501"/>
    <w:rsid w:val="00C76452"/>
    <w:rsid w:val="00C955B9"/>
    <w:rsid w:val="00CB02D5"/>
    <w:rsid w:val="00D01A57"/>
    <w:rsid w:val="00D63D43"/>
    <w:rsid w:val="00D82618"/>
    <w:rsid w:val="00DB3D8E"/>
    <w:rsid w:val="00DE1F76"/>
    <w:rsid w:val="00E17E3E"/>
    <w:rsid w:val="00E60B2F"/>
    <w:rsid w:val="00E6595B"/>
    <w:rsid w:val="00E84A3A"/>
    <w:rsid w:val="00EA1ADC"/>
    <w:rsid w:val="00EB7027"/>
    <w:rsid w:val="00F0309C"/>
    <w:rsid w:val="00F3185E"/>
    <w:rsid w:val="00F41638"/>
    <w:rsid w:val="00F416CA"/>
    <w:rsid w:val="00F45EF1"/>
    <w:rsid w:val="00F62AB2"/>
    <w:rsid w:val="00F86883"/>
    <w:rsid w:val="00FA34BF"/>
    <w:rsid w:val="00FA5948"/>
    <w:rsid w:val="00FB72C6"/>
    <w:rsid w:val="00FC5536"/>
    <w:rsid w:val="00FD7B22"/>
    <w:rsid w:val="00FE78E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B7E99"/>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B7E99"/>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B7E99"/>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B7E99"/>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B7E99"/>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B7E99"/>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1B7E99"/>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B7E99"/>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B7E99"/>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B7E99"/>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B7E99"/>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B7E99"/>
    <w:rPr>
      <w:rFonts w:ascii="Bookman Old Style" w:eastAsia="Times New Roman" w:hAnsi="Bookman Old Style" w:cs="Times New Roman"/>
      <w:b/>
      <w:szCs w:val="20"/>
      <w:lang w:eastAsia="ar-SA"/>
    </w:rPr>
  </w:style>
  <w:style w:type="paragraph" w:styleId="Tekstdymka">
    <w:name w:val="Balloon Text"/>
    <w:basedOn w:val="Normalny"/>
    <w:link w:val="TekstdymkaZnak"/>
    <w:uiPriority w:val="99"/>
    <w:semiHidden/>
    <w:unhideWhenUsed/>
    <w:rsid w:val="002E31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319A"/>
    <w:rPr>
      <w:rFonts w:ascii="Segoe UI" w:hAnsi="Segoe UI" w:cs="Segoe UI"/>
      <w:sz w:val="18"/>
      <w:szCs w:val="18"/>
    </w:rPr>
  </w:style>
  <w:style w:type="paragraph" w:styleId="Akapitzlist">
    <w:name w:val="List Paragraph"/>
    <w:basedOn w:val="Normalny"/>
    <w:uiPriority w:val="34"/>
    <w:qFormat/>
    <w:rsid w:val="00285157"/>
    <w:pPr>
      <w:ind w:left="720"/>
      <w:contextualSpacing/>
    </w:pPr>
  </w:style>
  <w:style w:type="character" w:styleId="Uwydatnienie">
    <w:name w:val="Emphasis"/>
    <w:basedOn w:val="Domylnaczcionkaakapitu"/>
    <w:uiPriority w:val="20"/>
    <w:qFormat/>
    <w:rsid w:val="009318C2"/>
    <w:rPr>
      <w:i/>
      <w:iCs/>
    </w:rPr>
  </w:style>
  <w:style w:type="character" w:styleId="Hipercze">
    <w:name w:val="Hyperlink"/>
    <w:rsid w:val="007E3873"/>
    <w:rPr>
      <w:color w:val="0000FF"/>
      <w:u w:val="single"/>
    </w:rPr>
  </w:style>
  <w:style w:type="paragraph" w:styleId="NormalnyWeb">
    <w:name w:val="Normal (Web)"/>
    <w:basedOn w:val="Normalny"/>
    <w:uiPriority w:val="99"/>
    <w:unhideWhenUsed/>
    <w:rsid w:val="001C30A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6565401">
      <w:bodyDiv w:val="1"/>
      <w:marLeft w:val="0"/>
      <w:marRight w:val="0"/>
      <w:marTop w:val="0"/>
      <w:marBottom w:val="0"/>
      <w:divBdr>
        <w:top w:val="none" w:sz="0" w:space="0" w:color="auto"/>
        <w:left w:val="none" w:sz="0" w:space="0" w:color="auto"/>
        <w:bottom w:val="none" w:sz="0" w:space="0" w:color="auto"/>
        <w:right w:val="none" w:sz="0" w:space="0" w:color="auto"/>
      </w:divBdr>
      <w:divsChild>
        <w:div w:id="272320444">
          <w:marLeft w:val="0"/>
          <w:marRight w:val="0"/>
          <w:marTop w:val="0"/>
          <w:marBottom w:val="0"/>
          <w:divBdr>
            <w:top w:val="none" w:sz="0" w:space="0" w:color="auto"/>
            <w:left w:val="none" w:sz="0" w:space="0" w:color="auto"/>
            <w:bottom w:val="none" w:sz="0" w:space="0" w:color="auto"/>
            <w:right w:val="none" w:sz="0" w:space="0" w:color="auto"/>
          </w:divBdr>
        </w:div>
        <w:div w:id="218445067">
          <w:marLeft w:val="0"/>
          <w:marRight w:val="0"/>
          <w:marTop w:val="0"/>
          <w:marBottom w:val="0"/>
          <w:divBdr>
            <w:top w:val="none" w:sz="0" w:space="0" w:color="auto"/>
            <w:left w:val="none" w:sz="0" w:space="0" w:color="auto"/>
            <w:bottom w:val="none" w:sz="0" w:space="0" w:color="auto"/>
            <w:right w:val="none" w:sz="0" w:space="0" w:color="auto"/>
          </w:divBdr>
        </w:div>
        <w:div w:id="2022704919">
          <w:marLeft w:val="0"/>
          <w:marRight w:val="0"/>
          <w:marTop w:val="0"/>
          <w:marBottom w:val="0"/>
          <w:divBdr>
            <w:top w:val="none" w:sz="0" w:space="0" w:color="auto"/>
            <w:left w:val="none" w:sz="0" w:space="0" w:color="auto"/>
            <w:bottom w:val="none" w:sz="0" w:space="0" w:color="auto"/>
            <w:right w:val="none" w:sz="0" w:space="0" w:color="auto"/>
          </w:divBdr>
        </w:div>
        <w:div w:id="143936306">
          <w:marLeft w:val="0"/>
          <w:marRight w:val="0"/>
          <w:marTop w:val="0"/>
          <w:marBottom w:val="0"/>
          <w:divBdr>
            <w:top w:val="none" w:sz="0" w:space="0" w:color="auto"/>
            <w:left w:val="none" w:sz="0" w:space="0" w:color="auto"/>
            <w:bottom w:val="none" w:sz="0" w:space="0" w:color="auto"/>
            <w:right w:val="none" w:sz="0" w:space="0" w:color="auto"/>
          </w:divBdr>
        </w:div>
        <w:div w:id="1421414846">
          <w:marLeft w:val="0"/>
          <w:marRight w:val="0"/>
          <w:marTop w:val="0"/>
          <w:marBottom w:val="0"/>
          <w:divBdr>
            <w:top w:val="none" w:sz="0" w:space="0" w:color="auto"/>
            <w:left w:val="none" w:sz="0" w:space="0" w:color="auto"/>
            <w:bottom w:val="none" w:sz="0" w:space="0" w:color="auto"/>
            <w:right w:val="none" w:sz="0" w:space="0" w:color="auto"/>
          </w:divBdr>
        </w:div>
        <w:div w:id="812717684">
          <w:marLeft w:val="0"/>
          <w:marRight w:val="0"/>
          <w:marTop w:val="0"/>
          <w:marBottom w:val="0"/>
          <w:divBdr>
            <w:top w:val="none" w:sz="0" w:space="0" w:color="auto"/>
            <w:left w:val="none" w:sz="0" w:space="0" w:color="auto"/>
            <w:bottom w:val="none" w:sz="0" w:space="0" w:color="auto"/>
            <w:right w:val="none" w:sz="0" w:space="0" w:color="auto"/>
          </w:divBdr>
        </w:div>
        <w:div w:id="1986545062">
          <w:marLeft w:val="0"/>
          <w:marRight w:val="0"/>
          <w:marTop w:val="0"/>
          <w:marBottom w:val="0"/>
          <w:divBdr>
            <w:top w:val="none" w:sz="0" w:space="0" w:color="auto"/>
            <w:left w:val="none" w:sz="0" w:space="0" w:color="auto"/>
            <w:bottom w:val="none" w:sz="0" w:space="0" w:color="auto"/>
            <w:right w:val="none" w:sz="0" w:space="0" w:color="auto"/>
          </w:divBdr>
        </w:div>
        <w:div w:id="523205700">
          <w:marLeft w:val="0"/>
          <w:marRight w:val="0"/>
          <w:marTop w:val="0"/>
          <w:marBottom w:val="0"/>
          <w:divBdr>
            <w:top w:val="none" w:sz="0" w:space="0" w:color="auto"/>
            <w:left w:val="none" w:sz="0" w:space="0" w:color="auto"/>
            <w:bottom w:val="none" w:sz="0" w:space="0" w:color="auto"/>
            <w:right w:val="none" w:sz="0" w:space="0" w:color="auto"/>
          </w:divBdr>
        </w:div>
        <w:div w:id="2086299008">
          <w:marLeft w:val="0"/>
          <w:marRight w:val="0"/>
          <w:marTop w:val="0"/>
          <w:marBottom w:val="0"/>
          <w:divBdr>
            <w:top w:val="none" w:sz="0" w:space="0" w:color="auto"/>
            <w:left w:val="none" w:sz="0" w:space="0" w:color="auto"/>
            <w:bottom w:val="none" w:sz="0" w:space="0" w:color="auto"/>
            <w:right w:val="none" w:sz="0" w:space="0" w:color="auto"/>
          </w:divBdr>
        </w:div>
        <w:div w:id="2091195897">
          <w:marLeft w:val="0"/>
          <w:marRight w:val="0"/>
          <w:marTop w:val="0"/>
          <w:marBottom w:val="0"/>
          <w:divBdr>
            <w:top w:val="none" w:sz="0" w:space="0" w:color="auto"/>
            <w:left w:val="none" w:sz="0" w:space="0" w:color="auto"/>
            <w:bottom w:val="none" w:sz="0" w:space="0" w:color="auto"/>
            <w:right w:val="none" w:sz="0" w:space="0" w:color="auto"/>
          </w:divBdr>
        </w:div>
        <w:div w:id="1945527746">
          <w:marLeft w:val="0"/>
          <w:marRight w:val="0"/>
          <w:marTop w:val="0"/>
          <w:marBottom w:val="0"/>
          <w:divBdr>
            <w:top w:val="none" w:sz="0" w:space="0" w:color="auto"/>
            <w:left w:val="none" w:sz="0" w:space="0" w:color="auto"/>
            <w:bottom w:val="none" w:sz="0" w:space="0" w:color="auto"/>
            <w:right w:val="none" w:sz="0" w:space="0" w:color="auto"/>
          </w:divBdr>
        </w:div>
        <w:div w:id="1925145871">
          <w:marLeft w:val="0"/>
          <w:marRight w:val="0"/>
          <w:marTop w:val="0"/>
          <w:marBottom w:val="0"/>
          <w:divBdr>
            <w:top w:val="none" w:sz="0" w:space="0" w:color="auto"/>
            <w:left w:val="none" w:sz="0" w:space="0" w:color="auto"/>
            <w:bottom w:val="none" w:sz="0" w:space="0" w:color="auto"/>
            <w:right w:val="none" w:sz="0" w:space="0" w:color="auto"/>
          </w:divBdr>
        </w:div>
        <w:div w:id="484901947">
          <w:marLeft w:val="0"/>
          <w:marRight w:val="0"/>
          <w:marTop w:val="0"/>
          <w:marBottom w:val="0"/>
          <w:divBdr>
            <w:top w:val="none" w:sz="0" w:space="0" w:color="auto"/>
            <w:left w:val="none" w:sz="0" w:space="0" w:color="auto"/>
            <w:bottom w:val="none" w:sz="0" w:space="0" w:color="auto"/>
            <w:right w:val="none" w:sz="0" w:space="0" w:color="auto"/>
          </w:divBdr>
        </w:div>
        <w:div w:id="1653216278">
          <w:marLeft w:val="0"/>
          <w:marRight w:val="0"/>
          <w:marTop w:val="0"/>
          <w:marBottom w:val="0"/>
          <w:divBdr>
            <w:top w:val="none" w:sz="0" w:space="0" w:color="auto"/>
            <w:left w:val="none" w:sz="0" w:space="0" w:color="auto"/>
            <w:bottom w:val="none" w:sz="0" w:space="0" w:color="auto"/>
            <w:right w:val="none" w:sz="0" w:space="0" w:color="auto"/>
          </w:divBdr>
        </w:div>
        <w:div w:id="347634623">
          <w:marLeft w:val="0"/>
          <w:marRight w:val="0"/>
          <w:marTop w:val="0"/>
          <w:marBottom w:val="0"/>
          <w:divBdr>
            <w:top w:val="none" w:sz="0" w:space="0" w:color="auto"/>
            <w:left w:val="none" w:sz="0" w:space="0" w:color="auto"/>
            <w:bottom w:val="none" w:sz="0" w:space="0" w:color="auto"/>
            <w:right w:val="none" w:sz="0" w:space="0" w:color="auto"/>
          </w:divBdr>
        </w:div>
        <w:div w:id="93092502">
          <w:marLeft w:val="0"/>
          <w:marRight w:val="0"/>
          <w:marTop w:val="0"/>
          <w:marBottom w:val="0"/>
          <w:divBdr>
            <w:top w:val="none" w:sz="0" w:space="0" w:color="auto"/>
            <w:left w:val="none" w:sz="0" w:space="0" w:color="auto"/>
            <w:bottom w:val="none" w:sz="0" w:space="0" w:color="auto"/>
            <w:right w:val="none" w:sz="0" w:space="0" w:color="auto"/>
          </w:divBdr>
        </w:div>
        <w:div w:id="50229358">
          <w:marLeft w:val="0"/>
          <w:marRight w:val="0"/>
          <w:marTop w:val="0"/>
          <w:marBottom w:val="0"/>
          <w:divBdr>
            <w:top w:val="none" w:sz="0" w:space="0" w:color="auto"/>
            <w:left w:val="none" w:sz="0" w:space="0" w:color="auto"/>
            <w:bottom w:val="none" w:sz="0" w:space="0" w:color="auto"/>
            <w:right w:val="none" w:sz="0" w:space="0" w:color="auto"/>
          </w:divBdr>
        </w:div>
        <w:div w:id="1139303987">
          <w:marLeft w:val="0"/>
          <w:marRight w:val="0"/>
          <w:marTop w:val="0"/>
          <w:marBottom w:val="0"/>
          <w:divBdr>
            <w:top w:val="none" w:sz="0" w:space="0" w:color="auto"/>
            <w:left w:val="none" w:sz="0" w:space="0" w:color="auto"/>
            <w:bottom w:val="none" w:sz="0" w:space="0" w:color="auto"/>
            <w:right w:val="none" w:sz="0" w:space="0" w:color="auto"/>
          </w:divBdr>
        </w:div>
        <w:div w:id="1199008976">
          <w:marLeft w:val="0"/>
          <w:marRight w:val="0"/>
          <w:marTop w:val="0"/>
          <w:marBottom w:val="0"/>
          <w:divBdr>
            <w:top w:val="none" w:sz="0" w:space="0" w:color="auto"/>
            <w:left w:val="none" w:sz="0" w:space="0" w:color="auto"/>
            <w:bottom w:val="none" w:sz="0" w:space="0" w:color="auto"/>
            <w:right w:val="none" w:sz="0" w:space="0" w:color="auto"/>
          </w:divBdr>
        </w:div>
      </w:divsChild>
    </w:div>
    <w:div w:id="117575725">
      <w:bodyDiv w:val="1"/>
      <w:marLeft w:val="0"/>
      <w:marRight w:val="0"/>
      <w:marTop w:val="0"/>
      <w:marBottom w:val="0"/>
      <w:divBdr>
        <w:top w:val="none" w:sz="0" w:space="0" w:color="auto"/>
        <w:left w:val="none" w:sz="0" w:space="0" w:color="auto"/>
        <w:bottom w:val="none" w:sz="0" w:space="0" w:color="auto"/>
        <w:right w:val="none" w:sz="0" w:space="0" w:color="auto"/>
      </w:divBdr>
      <w:divsChild>
        <w:div w:id="2325335">
          <w:marLeft w:val="0"/>
          <w:marRight w:val="0"/>
          <w:marTop w:val="0"/>
          <w:marBottom w:val="0"/>
          <w:divBdr>
            <w:top w:val="none" w:sz="0" w:space="0" w:color="auto"/>
            <w:left w:val="none" w:sz="0" w:space="0" w:color="auto"/>
            <w:bottom w:val="none" w:sz="0" w:space="0" w:color="auto"/>
            <w:right w:val="none" w:sz="0" w:space="0" w:color="auto"/>
          </w:divBdr>
        </w:div>
        <w:div w:id="1792748926">
          <w:marLeft w:val="0"/>
          <w:marRight w:val="0"/>
          <w:marTop w:val="0"/>
          <w:marBottom w:val="0"/>
          <w:divBdr>
            <w:top w:val="none" w:sz="0" w:space="0" w:color="auto"/>
            <w:left w:val="none" w:sz="0" w:space="0" w:color="auto"/>
            <w:bottom w:val="none" w:sz="0" w:space="0" w:color="auto"/>
            <w:right w:val="none" w:sz="0" w:space="0" w:color="auto"/>
          </w:divBdr>
        </w:div>
        <w:div w:id="1297486103">
          <w:marLeft w:val="0"/>
          <w:marRight w:val="0"/>
          <w:marTop w:val="0"/>
          <w:marBottom w:val="0"/>
          <w:divBdr>
            <w:top w:val="none" w:sz="0" w:space="0" w:color="auto"/>
            <w:left w:val="none" w:sz="0" w:space="0" w:color="auto"/>
            <w:bottom w:val="none" w:sz="0" w:space="0" w:color="auto"/>
            <w:right w:val="none" w:sz="0" w:space="0" w:color="auto"/>
          </w:divBdr>
        </w:div>
        <w:div w:id="522986906">
          <w:marLeft w:val="0"/>
          <w:marRight w:val="0"/>
          <w:marTop w:val="0"/>
          <w:marBottom w:val="0"/>
          <w:divBdr>
            <w:top w:val="none" w:sz="0" w:space="0" w:color="auto"/>
            <w:left w:val="none" w:sz="0" w:space="0" w:color="auto"/>
            <w:bottom w:val="none" w:sz="0" w:space="0" w:color="auto"/>
            <w:right w:val="none" w:sz="0" w:space="0" w:color="auto"/>
          </w:divBdr>
        </w:div>
        <w:div w:id="608971175">
          <w:marLeft w:val="0"/>
          <w:marRight w:val="0"/>
          <w:marTop w:val="0"/>
          <w:marBottom w:val="0"/>
          <w:divBdr>
            <w:top w:val="none" w:sz="0" w:space="0" w:color="auto"/>
            <w:left w:val="none" w:sz="0" w:space="0" w:color="auto"/>
            <w:bottom w:val="none" w:sz="0" w:space="0" w:color="auto"/>
            <w:right w:val="none" w:sz="0" w:space="0" w:color="auto"/>
          </w:divBdr>
        </w:div>
      </w:divsChild>
    </w:div>
    <w:div w:id="277029876">
      <w:bodyDiv w:val="1"/>
      <w:marLeft w:val="0"/>
      <w:marRight w:val="0"/>
      <w:marTop w:val="0"/>
      <w:marBottom w:val="0"/>
      <w:divBdr>
        <w:top w:val="none" w:sz="0" w:space="0" w:color="auto"/>
        <w:left w:val="none" w:sz="0" w:space="0" w:color="auto"/>
        <w:bottom w:val="none" w:sz="0" w:space="0" w:color="auto"/>
        <w:right w:val="none" w:sz="0" w:space="0" w:color="auto"/>
      </w:divBdr>
      <w:divsChild>
        <w:div w:id="919220882">
          <w:marLeft w:val="0"/>
          <w:marRight w:val="0"/>
          <w:marTop w:val="0"/>
          <w:marBottom w:val="0"/>
          <w:divBdr>
            <w:top w:val="none" w:sz="0" w:space="0" w:color="auto"/>
            <w:left w:val="none" w:sz="0" w:space="0" w:color="auto"/>
            <w:bottom w:val="none" w:sz="0" w:space="0" w:color="auto"/>
            <w:right w:val="none" w:sz="0" w:space="0" w:color="auto"/>
          </w:divBdr>
        </w:div>
        <w:div w:id="332492504">
          <w:marLeft w:val="0"/>
          <w:marRight w:val="0"/>
          <w:marTop w:val="0"/>
          <w:marBottom w:val="0"/>
          <w:divBdr>
            <w:top w:val="none" w:sz="0" w:space="0" w:color="auto"/>
            <w:left w:val="none" w:sz="0" w:space="0" w:color="auto"/>
            <w:bottom w:val="none" w:sz="0" w:space="0" w:color="auto"/>
            <w:right w:val="none" w:sz="0" w:space="0" w:color="auto"/>
          </w:divBdr>
        </w:div>
      </w:divsChild>
    </w:div>
    <w:div w:id="287009630">
      <w:bodyDiv w:val="1"/>
      <w:marLeft w:val="0"/>
      <w:marRight w:val="0"/>
      <w:marTop w:val="0"/>
      <w:marBottom w:val="0"/>
      <w:divBdr>
        <w:top w:val="none" w:sz="0" w:space="0" w:color="auto"/>
        <w:left w:val="none" w:sz="0" w:space="0" w:color="auto"/>
        <w:bottom w:val="none" w:sz="0" w:space="0" w:color="auto"/>
        <w:right w:val="none" w:sz="0" w:space="0" w:color="auto"/>
      </w:divBdr>
    </w:div>
    <w:div w:id="291835972">
      <w:bodyDiv w:val="1"/>
      <w:marLeft w:val="0"/>
      <w:marRight w:val="0"/>
      <w:marTop w:val="0"/>
      <w:marBottom w:val="0"/>
      <w:divBdr>
        <w:top w:val="none" w:sz="0" w:space="0" w:color="auto"/>
        <w:left w:val="none" w:sz="0" w:space="0" w:color="auto"/>
        <w:bottom w:val="none" w:sz="0" w:space="0" w:color="auto"/>
        <w:right w:val="none" w:sz="0" w:space="0" w:color="auto"/>
      </w:divBdr>
    </w:div>
    <w:div w:id="731581164">
      <w:bodyDiv w:val="1"/>
      <w:marLeft w:val="0"/>
      <w:marRight w:val="0"/>
      <w:marTop w:val="0"/>
      <w:marBottom w:val="0"/>
      <w:divBdr>
        <w:top w:val="none" w:sz="0" w:space="0" w:color="auto"/>
        <w:left w:val="none" w:sz="0" w:space="0" w:color="auto"/>
        <w:bottom w:val="none" w:sz="0" w:space="0" w:color="auto"/>
        <w:right w:val="none" w:sz="0" w:space="0" w:color="auto"/>
      </w:divBdr>
    </w:div>
    <w:div w:id="805393191">
      <w:bodyDiv w:val="1"/>
      <w:marLeft w:val="0"/>
      <w:marRight w:val="0"/>
      <w:marTop w:val="0"/>
      <w:marBottom w:val="0"/>
      <w:divBdr>
        <w:top w:val="none" w:sz="0" w:space="0" w:color="auto"/>
        <w:left w:val="none" w:sz="0" w:space="0" w:color="auto"/>
        <w:bottom w:val="none" w:sz="0" w:space="0" w:color="auto"/>
        <w:right w:val="none" w:sz="0" w:space="0" w:color="auto"/>
      </w:divBdr>
    </w:div>
    <w:div w:id="868956782">
      <w:bodyDiv w:val="1"/>
      <w:marLeft w:val="0"/>
      <w:marRight w:val="0"/>
      <w:marTop w:val="0"/>
      <w:marBottom w:val="0"/>
      <w:divBdr>
        <w:top w:val="none" w:sz="0" w:space="0" w:color="auto"/>
        <w:left w:val="none" w:sz="0" w:space="0" w:color="auto"/>
        <w:bottom w:val="none" w:sz="0" w:space="0" w:color="auto"/>
        <w:right w:val="none" w:sz="0" w:space="0" w:color="auto"/>
      </w:divBdr>
    </w:div>
    <w:div w:id="921377942">
      <w:bodyDiv w:val="1"/>
      <w:marLeft w:val="0"/>
      <w:marRight w:val="0"/>
      <w:marTop w:val="0"/>
      <w:marBottom w:val="0"/>
      <w:divBdr>
        <w:top w:val="none" w:sz="0" w:space="0" w:color="auto"/>
        <w:left w:val="none" w:sz="0" w:space="0" w:color="auto"/>
        <w:bottom w:val="none" w:sz="0" w:space="0" w:color="auto"/>
        <w:right w:val="none" w:sz="0" w:space="0" w:color="auto"/>
      </w:divBdr>
    </w:div>
    <w:div w:id="1391492303">
      <w:bodyDiv w:val="1"/>
      <w:marLeft w:val="0"/>
      <w:marRight w:val="0"/>
      <w:marTop w:val="0"/>
      <w:marBottom w:val="0"/>
      <w:divBdr>
        <w:top w:val="none" w:sz="0" w:space="0" w:color="auto"/>
        <w:left w:val="none" w:sz="0" w:space="0" w:color="auto"/>
        <w:bottom w:val="none" w:sz="0" w:space="0" w:color="auto"/>
        <w:right w:val="none" w:sz="0" w:space="0" w:color="auto"/>
      </w:divBdr>
    </w:div>
    <w:div w:id="1431781931">
      <w:bodyDiv w:val="1"/>
      <w:marLeft w:val="0"/>
      <w:marRight w:val="0"/>
      <w:marTop w:val="0"/>
      <w:marBottom w:val="0"/>
      <w:divBdr>
        <w:top w:val="none" w:sz="0" w:space="0" w:color="auto"/>
        <w:left w:val="none" w:sz="0" w:space="0" w:color="auto"/>
        <w:bottom w:val="none" w:sz="0" w:space="0" w:color="auto"/>
        <w:right w:val="none" w:sz="0" w:space="0" w:color="auto"/>
      </w:divBdr>
    </w:div>
    <w:div w:id="1711109398">
      <w:bodyDiv w:val="1"/>
      <w:marLeft w:val="0"/>
      <w:marRight w:val="0"/>
      <w:marTop w:val="0"/>
      <w:marBottom w:val="0"/>
      <w:divBdr>
        <w:top w:val="none" w:sz="0" w:space="0" w:color="auto"/>
        <w:left w:val="none" w:sz="0" w:space="0" w:color="auto"/>
        <w:bottom w:val="none" w:sz="0" w:space="0" w:color="auto"/>
        <w:right w:val="none" w:sz="0" w:space="0" w:color="auto"/>
      </w:divBdr>
    </w:div>
    <w:div w:id="1750686801">
      <w:bodyDiv w:val="1"/>
      <w:marLeft w:val="0"/>
      <w:marRight w:val="0"/>
      <w:marTop w:val="0"/>
      <w:marBottom w:val="0"/>
      <w:divBdr>
        <w:top w:val="none" w:sz="0" w:space="0" w:color="auto"/>
        <w:left w:val="none" w:sz="0" w:space="0" w:color="auto"/>
        <w:bottom w:val="none" w:sz="0" w:space="0" w:color="auto"/>
        <w:right w:val="none" w:sz="0" w:space="0" w:color="auto"/>
      </w:divBdr>
    </w:div>
    <w:div w:id="1766073525">
      <w:bodyDiv w:val="1"/>
      <w:marLeft w:val="0"/>
      <w:marRight w:val="0"/>
      <w:marTop w:val="0"/>
      <w:marBottom w:val="0"/>
      <w:divBdr>
        <w:top w:val="none" w:sz="0" w:space="0" w:color="auto"/>
        <w:left w:val="none" w:sz="0" w:space="0" w:color="auto"/>
        <w:bottom w:val="none" w:sz="0" w:space="0" w:color="auto"/>
        <w:right w:val="none" w:sz="0" w:space="0" w:color="auto"/>
      </w:divBdr>
    </w:div>
    <w:div w:id="1785615514">
      <w:bodyDiv w:val="1"/>
      <w:marLeft w:val="0"/>
      <w:marRight w:val="0"/>
      <w:marTop w:val="0"/>
      <w:marBottom w:val="0"/>
      <w:divBdr>
        <w:top w:val="none" w:sz="0" w:space="0" w:color="auto"/>
        <w:left w:val="none" w:sz="0" w:space="0" w:color="auto"/>
        <w:bottom w:val="none" w:sz="0" w:space="0" w:color="auto"/>
        <w:right w:val="none" w:sz="0" w:space="0" w:color="auto"/>
      </w:divBdr>
    </w:div>
    <w:div w:id="1794866313">
      <w:bodyDiv w:val="1"/>
      <w:marLeft w:val="0"/>
      <w:marRight w:val="0"/>
      <w:marTop w:val="0"/>
      <w:marBottom w:val="0"/>
      <w:divBdr>
        <w:top w:val="none" w:sz="0" w:space="0" w:color="auto"/>
        <w:left w:val="none" w:sz="0" w:space="0" w:color="auto"/>
        <w:bottom w:val="none" w:sz="0" w:space="0" w:color="auto"/>
        <w:right w:val="none" w:sz="0" w:space="0" w:color="auto"/>
      </w:divBdr>
    </w:div>
    <w:div w:id="19320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rswglrshaydomrqgqzdk&amp;refSource=hypli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p.legalis.pl/document-view.seam?documentId=mfrxilrtg4ytimjzhe4tiltqmfyc4njrga4danjwg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ip.legalis.pl/document-view.seam?documentId=mrswglrshaydomrrgy3to&amp;refSource=hyplink"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5</Pages>
  <Words>2651</Words>
  <Characters>15910</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32</cp:revision>
  <cp:lastPrinted>2022-07-08T07:11:00Z</cp:lastPrinted>
  <dcterms:created xsi:type="dcterms:W3CDTF">2022-06-27T07:04:00Z</dcterms:created>
  <dcterms:modified xsi:type="dcterms:W3CDTF">2022-08-12T05:53:00Z</dcterms:modified>
</cp:coreProperties>
</file>