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Tomaszów Mazowiecki, dnia </w:t>
      </w:r>
      <w:r>
        <w:rPr>
          <w:rFonts w:eastAsia="Times New Roman" w:cs="Calibri Light" w:ascii="Cambria" w:hAnsi="Cambria" w:asciiTheme="majorHAnsi" w:hAnsiTheme="majorHAnsi"/>
          <w:color w:val="auto"/>
          <w:kern w:val="0"/>
          <w:sz w:val="22"/>
          <w:szCs w:val="22"/>
          <w:lang w:val="pl-PL" w:eastAsia="pl-PL" w:bidi="ar-SA"/>
        </w:rPr>
        <w:t>01.08.2022</w:t>
      </w:r>
      <w:r>
        <w:rPr>
          <w:rFonts w:cs="Calibri Light" w:ascii="Cambria" w:hAnsi="Cambria" w:asciiTheme="majorHAnsi" w:hAnsiTheme="majorHAnsi"/>
          <w:sz w:val="22"/>
          <w:szCs w:val="22"/>
        </w:rPr>
        <w:t xml:space="preserve"> r.</w:t>
      </w:r>
    </w:p>
    <w:p>
      <w:pPr>
        <w:pStyle w:val="Normal"/>
        <w:jc w:val="both"/>
        <w:rPr>
          <w:rFonts w:ascii="Cambria" w:hAnsi="Cambria" w:cs="Calibri Light" w:asciiTheme="majorHAnsi" w:hAnsiTheme="majorHAnsi"/>
          <w:b/>
          <w:b/>
          <w:sz w:val="22"/>
          <w:szCs w:val="22"/>
          <w:u w:val="single"/>
        </w:rPr>
      </w:pPr>
      <w:r>
        <w:rPr>
          <w:rFonts w:cs="Calibri Light" w:ascii="Cambria" w:hAnsi="Cambria" w:asciiTheme="majorHAnsi" w:hAnsiTheme="majorHAnsi"/>
          <w:b/>
          <w:sz w:val="22"/>
          <w:szCs w:val="22"/>
          <w:u w:val="single"/>
        </w:rPr>
        <w:t>Zamawiający</w:t>
      </w:r>
    </w:p>
    <w:p>
      <w:pPr>
        <w:pStyle w:val="Normal"/>
        <w:jc w:val="both"/>
        <w:rPr>
          <w:rFonts w:ascii="Cambria" w:hAnsi="Cambria" w:cs="Calibri Light" w:asciiTheme="majorHAnsi" w:hAnsiTheme="majorHAnsi"/>
          <w:b/>
          <w:b/>
          <w:sz w:val="22"/>
          <w:szCs w:val="22"/>
          <w:u w:val="single"/>
        </w:rPr>
      </w:pPr>
      <w:r>
        <w:rPr>
          <w:rFonts w:cs="Calibri Light" w:ascii="Cambria" w:hAnsi="Cambria"/>
          <w:b/>
          <w:sz w:val="22"/>
          <w:szCs w:val="22"/>
          <w:u w:val="single"/>
        </w:rPr>
      </w:r>
    </w:p>
    <w:p>
      <w:pPr>
        <w:pStyle w:val="Wcicietrecitekstu"/>
        <w:spacing w:before="0" w:after="0"/>
        <w:ind w:left="425" w:hanging="425"/>
        <w:rPr>
          <w:rFonts w:ascii="Cambria" w:hAnsi="Cambria" w:cs="Calibri Light" w:asciiTheme="majorHAnsi" w:hAnsiTheme="majorHAnsi"/>
          <w:b/>
          <w:b/>
          <w:sz w:val="22"/>
          <w:szCs w:val="22"/>
          <w:u w:val="single"/>
        </w:rPr>
      </w:pPr>
      <w:r>
        <w:rPr>
          <w:rFonts w:cs="Calibri Light" w:ascii="Cambria" w:hAnsi="Cambria" w:asciiTheme="majorHAnsi" w:hAnsiTheme="majorHAnsi"/>
          <w:b/>
          <w:sz w:val="22"/>
          <w:szCs w:val="22"/>
        </w:rPr>
        <w:t>Gmina - Miasto Tomaszów Mazowiecki</w:t>
      </w:r>
    </w:p>
    <w:p>
      <w:pPr>
        <w:pStyle w:val="Normal"/>
        <w:ind w:left="425" w:hanging="425"/>
        <w:rPr>
          <w:rFonts w:ascii="Cambria" w:hAnsi="Cambria" w:cs="Calibri Light" w:asciiTheme="majorHAnsi" w:hAnsiTheme="majorHAnsi"/>
          <w:b/>
          <w:b/>
          <w:bCs/>
          <w:sz w:val="22"/>
          <w:szCs w:val="22"/>
        </w:rPr>
      </w:pPr>
      <w:r>
        <w:rPr>
          <w:rFonts w:cs="Calibri Light" w:ascii="Cambria" w:hAnsi="Cambria" w:asciiTheme="majorHAnsi" w:hAnsiTheme="majorHAnsi"/>
          <w:b/>
          <w:bCs/>
          <w:sz w:val="22"/>
          <w:szCs w:val="22"/>
        </w:rPr>
        <w:t xml:space="preserve">ul. POW 10/16 </w:t>
      </w:r>
    </w:p>
    <w:p>
      <w:pPr>
        <w:pStyle w:val="Normal"/>
        <w:ind w:left="425" w:hanging="425"/>
        <w:rPr>
          <w:rFonts w:ascii="Cambria" w:hAnsi="Cambria" w:cs="Calibri Light" w:asciiTheme="majorHAnsi" w:hAnsiTheme="majorHAnsi"/>
          <w:b/>
          <w:b/>
          <w:bCs/>
          <w:sz w:val="22"/>
          <w:szCs w:val="22"/>
        </w:rPr>
      </w:pPr>
      <w:r>
        <w:rPr>
          <w:rFonts w:cs="Calibri Light" w:ascii="Cambria" w:hAnsi="Cambria" w:asciiTheme="majorHAnsi" w:hAnsiTheme="majorHAnsi"/>
          <w:b/>
          <w:bCs/>
          <w:sz w:val="22"/>
          <w:szCs w:val="22"/>
        </w:rPr>
        <w:t>97-200 Tomaszów Mazowiecki</w:t>
      </w:r>
    </w:p>
    <w:p>
      <w:pPr>
        <w:pStyle w:val="Normal"/>
        <w:ind w:left="425" w:hanging="425"/>
        <w:rPr>
          <w:rFonts w:ascii="Cambria" w:hAnsi="Cambria" w:cs="Calibri Light" w:asciiTheme="majorHAnsi" w:hAnsiTheme="majorHAnsi"/>
          <w:b/>
          <w:b/>
          <w:bCs/>
          <w:sz w:val="22"/>
          <w:szCs w:val="22"/>
        </w:rPr>
      </w:pPr>
      <w:r>
        <w:rPr>
          <w:rFonts w:cs="Calibri Light" w:ascii="Cambria" w:hAnsi="Cambria" w:asciiTheme="majorHAnsi" w:hAnsiTheme="majorHAnsi"/>
          <w:b/>
          <w:bCs/>
          <w:sz w:val="22"/>
          <w:szCs w:val="22"/>
        </w:rPr>
        <w:t>NIP 773-16-56-546</w:t>
      </w:r>
    </w:p>
    <w:p>
      <w:pPr>
        <w:pStyle w:val="Normal"/>
        <w:ind w:left="425" w:hanging="425"/>
        <w:rPr>
          <w:rFonts w:ascii="Cambria" w:hAnsi="Cambria" w:cs="Calibri Light" w:asciiTheme="majorHAnsi" w:hAnsiTheme="majorHAnsi"/>
          <w:b/>
          <w:b/>
          <w:bCs/>
          <w:sz w:val="22"/>
          <w:szCs w:val="22"/>
        </w:rPr>
      </w:pPr>
      <w:r>
        <w:rPr>
          <w:rFonts w:cs="Calibri Light" w:ascii="Cambria" w:hAnsi="Cambria" w:asciiTheme="majorHAnsi" w:hAnsiTheme="majorHAnsi"/>
          <w:b/>
          <w:bCs/>
          <w:sz w:val="22"/>
          <w:szCs w:val="22"/>
        </w:rPr>
        <w:t>REGON 590648310</w:t>
      </w:r>
    </w:p>
    <w:p>
      <w:pPr>
        <w:pStyle w:val="Normal"/>
        <w:ind w:left="425" w:hanging="425"/>
        <w:rPr>
          <w:rFonts w:ascii="Cambria" w:hAnsi="Cambria" w:cs="Calibri Light" w:asciiTheme="majorHAnsi" w:hAnsiTheme="majorHAnsi"/>
          <w:bCs/>
          <w:sz w:val="22"/>
          <w:szCs w:val="22"/>
        </w:rPr>
      </w:pPr>
      <w:r>
        <w:rPr>
          <w:rFonts w:cs="Calibri Light" w:ascii="Cambria" w:hAnsi="Cambria"/>
          <w:bCs/>
          <w:sz w:val="22"/>
          <w:szCs w:val="22"/>
        </w:rPr>
      </w:r>
    </w:p>
    <w:p>
      <w:pPr>
        <w:pStyle w:val="Normal"/>
        <w:suppressAutoHyphens w:val="true"/>
        <w:jc w:val="both"/>
        <w:rPr>
          <w:rFonts w:ascii="Cambria" w:hAnsi="Cambria" w:cs="Calibri Light" w:asciiTheme="majorHAnsi" w:hAnsiTheme="majorHAnsi"/>
          <w:b/>
          <w:b/>
          <w:bCs/>
          <w:sz w:val="20"/>
          <w:szCs w:val="20"/>
          <w:lang w:eastAsia="ar-SA"/>
        </w:rPr>
      </w:pPr>
      <w:r>
        <w:rPr>
          <w:rFonts w:cs="Calibri Light" w:ascii="Cambria" w:hAnsi="Cambria" w:asciiTheme="majorHAnsi" w:hAnsiTheme="majorHAnsi"/>
          <w:b/>
          <w:bCs/>
          <w:sz w:val="20"/>
          <w:szCs w:val="20"/>
          <w:lang w:eastAsia="ar-SA"/>
        </w:rPr>
        <w:t xml:space="preserve">ADRES POCZTY ELEKTRONICZNEJ ZAMAWIAJĄCEGO: </w:t>
      </w:r>
    </w:p>
    <w:p>
      <w:pPr>
        <w:pStyle w:val="Normal"/>
        <w:suppressAutoHyphens w:val="true"/>
        <w:ind w:left="426" w:hanging="426"/>
        <w:jc w:val="both"/>
        <w:rPr>
          <w:rFonts w:ascii="Cambria" w:hAnsi="Cambria" w:cs="Calibri Light" w:asciiTheme="majorHAnsi" w:hAnsiTheme="majorHAnsi"/>
          <w:sz w:val="20"/>
          <w:szCs w:val="20"/>
          <w:lang w:eastAsia="ar-SA"/>
        </w:rPr>
      </w:pPr>
      <w:hyperlink r:id="rId2">
        <w:r>
          <w:rPr>
            <w:rFonts w:eastAsia="StarSymbol" w:cs="Calibri Light" w:ascii="Cambria" w:hAnsi="Cambria" w:asciiTheme="majorHAnsi" w:hAnsiTheme="majorHAnsi"/>
            <w:b/>
            <w:bCs/>
            <w:color w:val="0000FF"/>
            <w:sz w:val="20"/>
            <w:szCs w:val="20"/>
            <w:u w:val="single"/>
            <w:lang w:eastAsia="ar-SA"/>
          </w:rPr>
          <w:t>zam.pub@tomaszow-maz.pl</w:t>
        </w:r>
      </w:hyperlink>
    </w:p>
    <w:p>
      <w:pPr>
        <w:pStyle w:val="Normal"/>
        <w:suppressAutoHyphens w:val="true"/>
        <w:ind w:left="426" w:hanging="426"/>
        <w:jc w:val="both"/>
        <w:rPr>
          <w:rFonts w:ascii="Cambria" w:hAnsi="Cambria" w:cs="Calibri Light" w:asciiTheme="majorHAnsi" w:hAnsiTheme="majorHAnsi"/>
          <w:b/>
          <w:b/>
          <w:bCs/>
          <w:sz w:val="20"/>
          <w:szCs w:val="20"/>
          <w:lang w:eastAsia="ar-SA"/>
        </w:rPr>
      </w:pPr>
      <w:r>
        <w:rPr>
          <w:rFonts w:cs="Calibri Light" w:ascii="Cambria" w:hAnsi="Cambria"/>
          <w:b/>
          <w:bCs/>
          <w:sz w:val="20"/>
          <w:szCs w:val="20"/>
          <w:lang w:eastAsia="ar-SA"/>
        </w:rPr>
      </w:r>
    </w:p>
    <w:p>
      <w:pPr>
        <w:pStyle w:val="Normal"/>
        <w:suppressAutoHyphens w:val="true"/>
        <w:ind w:left="426" w:hanging="426"/>
        <w:rPr>
          <w:rFonts w:ascii="Cambria" w:hAnsi="Cambria" w:cs="Calibri Light" w:asciiTheme="majorHAnsi" w:hAnsiTheme="majorHAnsi"/>
          <w:b/>
          <w:b/>
          <w:sz w:val="20"/>
          <w:szCs w:val="20"/>
          <w:lang w:eastAsia="ar-SA"/>
        </w:rPr>
      </w:pPr>
      <w:r>
        <w:rPr>
          <w:rFonts w:cs="Calibri Light" w:ascii="Cambria" w:hAnsi="Cambria"/>
          <w:b/>
          <w:sz w:val="20"/>
          <w:szCs w:val="20"/>
          <w:lang w:eastAsia="ar-SA"/>
        </w:rPr>
      </w:r>
    </w:p>
    <w:p>
      <w:pPr>
        <w:pStyle w:val="Normal"/>
        <w:suppressAutoHyphens w:val="true"/>
        <w:ind w:left="426" w:hanging="426"/>
        <w:rPr>
          <w:rFonts w:ascii="Cambria" w:hAnsi="Cambria" w:cs="Calibri Light" w:asciiTheme="majorHAnsi" w:hAnsiTheme="majorHAnsi"/>
          <w:b/>
          <w:b/>
          <w:bCs/>
          <w:sz w:val="20"/>
          <w:szCs w:val="20"/>
          <w:lang w:eastAsia="ar-SA"/>
        </w:rPr>
      </w:pPr>
      <w:r>
        <w:rPr>
          <w:rFonts w:cs="Calibri Light" w:ascii="Cambria" w:hAnsi="Cambria" w:asciiTheme="majorHAnsi" w:hAnsiTheme="majorHAnsi"/>
          <w:b/>
          <w:bCs/>
          <w:sz w:val="20"/>
          <w:szCs w:val="20"/>
          <w:lang w:eastAsia="ar-SA"/>
        </w:rPr>
        <w:t>ADRES POCZTY ELEKTRONICZNEJ DO ZŁOŻENIA OFERTY:</w:t>
      </w:r>
    </w:p>
    <w:p>
      <w:pPr>
        <w:pStyle w:val="Normal"/>
        <w:suppressAutoHyphens w:val="true"/>
        <w:rPr>
          <w:rFonts w:ascii="Cambria" w:hAnsi="Cambria" w:cs="Calibri Light" w:asciiTheme="majorHAnsi" w:hAnsiTheme="majorHAnsi"/>
          <w:sz w:val="20"/>
          <w:szCs w:val="20"/>
          <w:lang w:eastAsia="ar-SA"/>
        </w:rPr>
      </w:pPr>
      <w:r>
        <w:rPr>
          <w:rFonts w:eastAsia="StarSymbol" w:cs="Calibri Light" w:ascii="Cambria" w:hAnsi="Cambria" w:asciiTheme="majorHAnsi" w:hAnsiTheme="majorHAnsi"/>
          <w:b/>
          <w:color w:val="0000FF"/>
          <w:sz w:val="20"/>
          <w:szCs w:val="20"/>
          <w:u w:val="single"/>
          <w:lang w:eastAsia="ar-SA"/>
        </w:rPr>
        <w:t>zam.pub.oferta@tomaszow-maz.pl</w:t>
      </w:r>
    </w:p>
    <w:p>
      <w:pPr>
        <w:pStyle w:val="Normal"/>
        <w:rPr>
          <w:rFonts w:ascii="Cambria" w:hAnsi="Cambria" w:cs="Calibri Light" w:asciiTheme="majorHAnsi" w:hAnsiTheme="majorHAnsi"/>
          <w:b/>
          <w:b/>
          <w:sz w:val="22"/>
          <w:szCs w:val="22"/>
        </w:rPr>
      </w:pPr>
      <w:r>
        <w:rPr>
          <w:rFonts w:cs="Calibri Light" w:ascii="Cambria" w:hAnsi="Cambria"/>
          <w:b/>
          <w:sz w:val="22"/>
          <w:szCs w:val="22"/>
        </w:rPr>
      </w:r>
    </w:p>
    <w:p>
      <w:pPr>
        <w:pStyle w:val="Normal"/>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spacing w:lineRule="auto" w:line="360"/>
        <w:jc w:val="center"/>
        <w:rPr>
          <w:rFonts w:ascii="Cambria" w:hAnsi="Cambria" w:cs="Calibri Light" w:asciiTheme="majorHAnsi" w:hAnsiTheme="majorHAnsi"/>
          <w:b/>
          <w:b/>
          <w:highlight w:val="lightGray"/>
          <w:u w:val="single"/>
        </w:rPr>
      </w:pPr>
      <w:r>
        <w:rPr>
          <w:rFonts w:cs="Calibri Light" w:ascii="Cambria" w:hAnsi="Cambria" w:asciiTheme="majorHAnsi" w:hAnsiTheme="majorHAnsi"/>
          <w:b/>
          <w:highlight w:val="lightGray"/>
          <w:u w:val="single"/>
        </w:rPr>
        <w:t>ZAPYTANIE OFERTOWE</w:t>
      </w:r>
    </w:p>
    <w:p>
      <w:pPr>
        <w:pStyle w:val="Normal"/>
        <w:spacing w:lineRule="auto" w:line="360"/>
        <w:jc w:val="center"/>
        <w:rPr>
          <w:rFonts w:ascii="Cambria" w:hAnsi="Cambria" w:cs="Calibri Light" w:asciiTheme="majorHAnsi" w:hAnsiTheme="majorHAnsi"/>
          <w:b/>
          <w:b/>
          <w:u w:val="single"/>
        </w:rPr>
      </w:pPr>
      <w:r>
        <w:rPr>
          <w:rFonts w:cs="Calibri Light" w:ascii="Cambria" w:hAnsi="Cambria" w:asciiTheme="majorHAnsi" w:hAnsiTheme="majorHAnsi"/>
          <w:b/>
          <w:highlight w:val="lightGray"/>
          <w:u w:val="single"/>
        </w:rPr>
        <w:t>o wartości od 50 000 zł – 130 000 zł netto</w:t>
      </w:r>
    </w:p>
    <w:p>
      <w:pPr>
        <w:pStyle w:val="Normal"/>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Znak postępowania: WRIK</w:t>
      </w:r>
      <w:r>
        <w:rPr>
          <w:rFonts w:cs="Calibri Light" w:ascii="Cambria" w:hAnsi="Cambria" w:asciiTheme="majorHAnsi" w:hAnsiTheme="majorHAnsi"/>
          <w:b/>
          <w:color w:val="000000"/>
          <w:sz w:val="22"/>
          <w:szCs w:val="22"/>
        </w:rPr>
        <w:t>.271.2.15.2022.ZP</w:t>
      </w:r>
    </w:p>
    <w:p>
      <w:pPr>
        <w:pStyle w:val="Normal"/>
        <w:tabs>
          <w:tab w:val="clear" w:pos="708"/>
          <w:tab w:val="left" w:pos="426" w:leader="none"/>
        </w:tabs>
        <w:suppressAutoHyphens w:val="true"/>
        <w:jc w:val="both"/>
        <w:rPr>
          <w:rFonts w:ascii="Cambria" w:hAnsi="Cambria" w:cs="Calibri Light" w:asciiTheme="majorHAnsi" w:hAnsiTheme="majorHAnsi"/>
          <w:sz w:val="22"/>
          <w:szCs w:val="22"/>
        </w:rPr>
      </w:pPr>
      <w:r>
        <w:rPr>
          <w:rFonts w:cs="Calibri Light" w:ascii="Cambria" w:hAnsi="Cambria"/>
          <w:sz w:val="22"/>
          <w:szCs w:val="22"/>
        </w:rPr>
      </w:r>
    </w:p>
    <w:p>
      <w:pPr>
        <w:pStyle w:val="Normal"/>
        <w:tabs>
          <w:tab w:val="clear" w:pos="708"/>
          <w:tab w:val="left" w:pos="426" w:leader="none"/>
        </w:tabs>
        <w:suppressAutoHyphens w:val="true"/>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Zamawiającym jest Gmina – Miasto Tomaszów Mazowiecki, w imieniu której działa Prezydent Miasta Tomaszowa Mazowieckiego.</w:t>
      </w:r>
    </w:p>
    <w:p>
      <w:pPr>
        <w:pStyle w:val="Normal"/>
        <w:tabs>
          <w:tab w:val="clear" w:pos="708"/>
          <w:tab w:val="left" w:pos="426" w:leader="none"/>
        </w:tabs>
        <w:suppressAutoHyphens w:val="true"/>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sz w:val="22"/>
          <w:szCs w:val="22"/>
        </w:rPr>
      </w:pPr>
      <w:r>
        <w:rPr>
          <w:rFonts w:cs="Calibri Light" w:ascii="Cambria" w:hAnsi="Cambria" w:asciiTheme="majorHAnsi" w:hAnsiTheme="majorHAnsi"/>
          <w:b/>
          <w:sz w:val="22"/>
          <w:szCs w:val="22"/>
        </w:rPr>
        <w:t xml:space="preserve">Rodzaj zamówienia – </w:t>
      </w:r>
      <w:r>
        <w:rPr>
          <w:rFonts w:eastAsia="Times New Roman" w:cs="Calibri Light" w:ascii="Cambria" w:hAnsi="Cambria" w:asciiTheme="majorHAnsi" w:hAnsiTheme="majorHAnsi"/>
          <w:b/>
          <w:color w:val="auto"/>
          <w:kern w:val="0"/>
          <w:sz w:val="22"/>
          <w:szCs w:val="22"/>
          <w:lang w:val="pl-PL" w:eastAsia="pl-PL" w:bidi="ar-SA"/>
        </w:rPr>
        <w:t>dostawa</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ind w:firstLine="708"/>
        <w:jc w:val="both"/>
        <w:rPr>
          <w:rFonts w:ascii="Cambria" w:hAnsi="Cambria"/>
          <w:sz w:val="22"/>
          <w:szCs w:val="22"/>
        </w:rPr>
      </w:pPr>
      <w:r>
        <w:rPr>
          <w:rFonts w:ascii="Cambria" w:hAnsi="Cambria" w:asciiTheme="majorHAnsi" w:hAnsiTheme="majorHAnsi"/>
          <w:sz w:val="22"/>
          <w:szCs w:val="22"/>
        </w:rPr>
        <w:t>W imieniu Gminy - Miasto Tomaszów Mazowiecki zapraszam do udziału                                      w postępowaniu o udzielenie zamówienia publicznego, prowadzonego w związku z art. 2 ust. 1 pkt 1 ustawy z dnia 11 września 2019 r. Prawo zamówień publicznych (tekst. jedn. Dz. U. z 2021 r. poz. 1129 ze zm.)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 którego przedmiotem jest:</w:t>
      </w:r>
    </w:p>
    <w:p>
      <w:pPr>
        <w:pStyle w:val="Normal"/>
        <w:rPr>
          <w:rFonts w:ascii="Cambria" w:hAnsi="Cambria" w:cs="Calibri Light" w:asciiTheme="majorHAnsi" w:hAnsiTheme="majorHAnsi"/>
          <w:b/>
          <w:b/>
          <w:sz w:val="22"/>
          <w:szCs w:val="22"/>
        </w:rPr>
      </w:pPr>
      <w:r>
        <w:rPr>
          <w:rFonts w:cs="Calibri Light" w:ascii="Cambria" w:hAnsi="Cambria"/>
          <w:b/>
          <w:sz w:val="22"/>
          <w:szCs w:val="22"/>
        </w:rPr>
      </w:r>
    </w:p>
    <w:p>
      <w:pPr>
        <w:pStyle w:val="Normal"/>
        <w:ind w:left="426" w:hanging="0"/>
        <w:jc w:val="center"/>
        <w:rPr>
          <w:rFonts w:ascii="Cambria" w:hAnsi="Cambria" w:eastAsia="Times New Roman" w:cs="Times New Roman"/>
          <w:b/>
          <w:b/>
          <w:color w:val="auto"/>
          <w:kern w:val="0"/>
          <w:sz w:val="22"/>
          <w:szCs w:val="22"/>
          <w:lang w:val="pl-PL" w:eastAsia="pl-PL" w:bidi="ar-SA"/>
        </w:rPr>
      </w:pPr>
      <w:r>
        <w:rPr>
          <w:rFonts w:eastAsia="Times New Roman" w:cs="Times New Roman" w:ascii="Cambria" w:hAnsi="Cambria"/>
          <w:b/>
          <w:color w:val="auto"/>
          <w:kern w:val="0"/>
          <w:sz w:val="22"/>
          <w:szCs w:val="22"/>
          <w:lang w:val="pl-PL" w:eastAsia="pl-PL" w:bidi="ar-SA"/>
        </w:rPr>
        <w:t>Zakup urządzeń związanych z komunikacją online systemu wizualnego</w:t>
      </w:r>
    </w:p>
    <w:p>
      <w:pPr>
        <w:pStyle w:val="Normal"/>
        <w:suppressAutoHyphens w:val="true"/>
        <w:ind w:left="284" w:hanging="0"/>
        <w:jc w:val="center"/>
        <w:rPr>
          <w:rFonts w:ascii="Cambria" w:hAnsi="Cambria" w:cs="Calibri Light" w:asciiTheme="majorHAnsi" w:hAnsiTheme="majorHAnsi"/>
          <w:b/>
          <w:b/>
          <w:sz w:val="22"/>
          <w:szCs w:val="22"/>
        </w:rPr>
      </w:pPr>
      <w:r>
        <w:rPr>
          <w:rFonts w:cs="Calibri Light" w:ascii="Cambria" w:hAnsi="Cambria"/>
          <w:b/>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rPr>
          <w:rFonts w:ascii="Cambria" w:hAnsi="Cambria"/>
          <w:sz w:val="22"/>
          <w:szCs w:val="22"/>
        </w:rPr>
      </w:pPr>
      <w:r>
        <w:rPr>
          <w:rFonts w:cs="Calibri Light" w:ascii="Cambria" w:hAnsi="Cambria" w:asciiTheme="majorHAnsi" w:hAnsiTheme="majorHAnsi"/>
          <w:b/>
          <w:sz w:val="22"/>
          <w:szCs w:val="22"/>
        </w:rPr>
        <w:t>Rozdział 1 - Nazwa zamówienia</w:t>
      </w:r>
    </w:p>
    <w:p>
      <w:pPr>
        <w:pStyle w:val="Normal"/>
        <w:widowControl w:val="false"/>
        <w:jc w:val="both"/>
        <w:rPr>
          <w:rFonts w:ascii="Cambria" w:hAnsi="Cambria" w:cs="Calibri Light" w:asciiTheme="majorHAnsi" w:hAnsiTheme="majorHAnsi"/>
          <w:bCs/>
          <w:sz w:val="22"/>
          <w:szCs w:val="22"/>
        </w:rPr>
      </w:pPr>
      <w:r>
        <w:rPr>
          <w:rFonts w:cs="Calibri Light" w:ascii="Cambria" w:hAnsi="Cambria"/>
          <w:bCs/>
          <w:sz w:val="22"/>
          <w:szCs w:val="22"/>
        </w:rPr>
      </w:r>
    </w:p>
    <w:p>
      <w:pPr>
        <w:pStyle w:val="Normal"/>
        <w:ind w:hanging="0"/>
        <w:jc w:val="left"/>
        <w:rPr>
          <w:rFonts w:ascii="Cambria" w:hAnsi="Cambria" w:eastAsia="Times New Roman" w:cs="Times New Roman"/>
          <w:b w:val="false"/>
          <w:b w:val="false"/>
          <w:bCs w:val="false"/>
          <w:color w:val="auto"/>
          <w:kern w:val="0"/>
          <w:sz w:val="22"/>
          <w:szCs w:val="22"/>
          <w:lang w:val="pl-PL" w:eastAsia="pl-PL" w:bidi="ar-SA"/>
        </w:rPr>
      </w:pPr>
      <w:r>
        <w:rPr>
          <w:rFonts w:eastAsia="Times New Roman" w:cs="Times New Roman" w:ascii="Cambria" w:hAnsi="Cambria"/>
          <w:b w:val="false"/>
          <w:bCs w:val="false"/>
          <w:color w:val="auto"/>
          <w:kern w:val="0"/>
          <w:sz w:val="22"/>
          <w:szCs w:val="22"/>
          <w:lang w:val="pl-PL" w:eastAsia="pl-PL" w:bidi="ar-SA"/>
        </w:rPr>
        <w:t>Zakup urządzeń związanych z komunikacją online systemu wizualnego</w:t>
      </w:r>
    </w:p>
    <w:p>
      <w:pPr>
        <w:pStyle w:val="Normal"/>
        <w:ind w:left="653" w:hanging="426"/>
        <w:jc w:val="center"/>
        <w:rPr>
          <w:rFonts w:ascii="Cambria" w:hAnsi="Cambria" w:cs="Calibri Light" w:asciiTheme="majorHAnsi" w:hAnsiTheme="majorHAnsi"/>
          <w:b/>
          <w:b/>
          <w:sz w:val="22"/>
          <w:szCs w:val="22"/>
        </w:rPr>
      </w:pPr>
      <w:r>
        <w:rPr>
          <w:rFonts w:cs="Calibri Light" w:ascii="Cambria" w:hAnsi="Cambria"/>
          <w:b/>
          <w:sz w:val="22"/>
          <w:szCs w:val="22"/>
        </w:rPr>
      </w:r>
    </w:p>
    <w:p>
      <w:pPr>
        <w:pStyle w:val="Normal"/>
        <w:shd w:val="clear" w:color="auto" w:fill="F3F3F3"/>
        <w:rPr>
          <w:rFonts w:ascii="Cambria" w:hAnsi="Cambria"/>
          <w:sz w:val="22"/>
          <w:szCs w:val="22"/>
        </w:rPr>
      </w:pPr>
      <w:r>
        <w:rPr>
          <w:rFonts w:cs="Calibri Light" w:ascii="Cambria" w:hAnsi="Cambria" w:asciiTheme="majorHAnsi" w:hAnsiTheme="majorHAnsi"/>
          <w:b/>
          <w:sz w:val="22"/>
          <w:szCs w:val="22"/>
        </w:rPr>
        <w:t>Rozdział 2 - Opis przedmiotu zamówienia</w:t>
      </w:r>
    </w:p>
    <w:p>
      <w:pPr>
        <w:pStyle w:val="Normal"/>
        <w:widowControl w:val="false"/>
        <w:jc w:val="both"/>
        <w:rPr>
          <w:rFonts w:ascii="Cambria" w:hAnsi="Cambria" w:cs="Calibri Light" w:asciiTheme="majorHAnsi" w:hAnsiTheme="majorHAnsi"/>
          <w:bCs/>
          <w:sz w:val="22"/>
          <w:szCs w:val="22"/>
        </w:rPr>
      </w:pPr>
      <w:r>
        <w:rPr>
          <w:rFonts w:cs="Calibri Light" w:ascii="Cambria" w:hAnsi="Cambria"/>
          <w:bCs/>
          <w:sz w:val="22"/>
          <w:szCs w:val="22"/>
        </w:rPr>
      </w:r>
    </w:p>
    <w:p>
      <w:pPr>
        <w:pStyle w:val="Normal"/>
        <w:widowControl w:val="false"/>
        <w:numPr>
          <w:ilvl w:val="0"/>
          <w:numId w:val="0"/>
        </w:numPr>
        <w:suppressAutoHyphens w:val="true"/>
        <w:bidi w:val="0"/>
        <w:spacing w:lineRule="auto" w:line="240" w:before="0" w:after="0"/>
        <w:ind w:left="0" w:right="0" w:hanging="0"/>
        <w:jc w:val="both"/>
        <w:rPr>
          <w:rFonts w:ascii="Cambria" w:hAnsi="Cambria"/>
          <w:sz w:val="22"/>
          <w:szCs w:val="22"/>
        </w:rPr>
      </w:pPr>
      <w:r>
        <w:rPr>
          <w:rFonts w:ascii="Cambria" w:hAnsi="Cambria"/>
          <w:sz w:val="22"/>
          <w:szCs w:val="22"/>
        </w:rPr>
        <w:t>Zakup, dostawa i montaż cyfrowego systemu do obsługi Sali Obrad Urzędu Miasta w Tomaszowie Mazowieckim składającego się z: wysokiej jakości systemu transmisyjnego, wizualnego, tj. Kamer, oprogramowania sterującego, miksera programowego, stacji roboczej do sterowania systemu do obsługi Sali Obrad Urzędu Miasta w Tomaszowie Mazowieckim.</w:t>
      </w:r>
    </w:p>
    <w:p>
      <w:pPr>
        <w:pStyle w:val="Normal"/>
        <w:widowControl w:val="false"/>
        <w:numPr>
          <w:ilvl w:val="0"/>
          <w:numId w:val="0"/>
        </w:numPr>
        <w:suppressAutoHyphens w:val="true"/>
        <w:bidi w:val="0"/>
        <w:spacing w:lineRule="auto" w:line="240" w:before="0" w:after="0"/>
        <w:ind w:left="0" w:right="0" w:hanging="0"/>
        <w:jc w:val="both"/>
        <w:rPr/>
      </w:pPr>
      <w:r>
        <w:rPr>
          <w:rFonts w:ascii="Cambria" w:hAnsi="Cambria"/>
          <w:sz w:val="22"/>
          <w:szCs w:val="22"/>
        </w:rPr>
        <w:t>Szczegółowy opis przedmiotu zamówienia stanowi załącznik nr 1 do niniejszego wniosku.</w:t>
      </w:r>
    </w:p>
    <w:p>
      <w:pPr>
        <w:pStyle w:val="Normal"/>
        <w:widowControl w:val="false"/>
        <w:numPr>
          <w:ilvl w:val="0"/>
          <w:numId w:val="0"/>
        </w:numPr>
        <w:suppressAutoHyphens w:val="true"/>
        <w:bidi w:val="0"/>
        <w:spacing w:lineRule="auto" w:line="240" w:before="0" w:after="0"/>
        <w:ind w:left="0" w:right="0" w:hanging="0"/>
        <w:jc w:val="both"/>
        <w:rPr>
          <w:rFonts w:ascii="Cambria" w:hAnsi="Cambria"/>
          <w:sz w:val="22"/>
          <w:szCs w:val="22"/>
        </w:rPr>
      </w:pPr>
      <w:r>
        <w:rPr>
          <w:rFonts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3 - Termin wykonania zamówienia</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pacing w:lineRule="auto" w:line="276" w:before="0" w:after="200"/>
        <w:rPr>
          <w:rFonts w:ascii="Cambria" w:hAnsi="Cambria" w:cs="Calibri Light" w:asciiTheme="majorHAnsi" w:hAnsiTheme="majorHAnsi"/>
          <w:b/>
          <w:b/>
          <w:sz w:val="22"/>
          <w:szCs w:val="22"/>
        </w:rPr>
      </w:pPr>
      <w:r>
        <w:rPr>
          <w:rFonts w:cs="Calibri Light" w:ascii="Cambria" w:hAnsi="Cambria" w:asciiTheme="majorHAnsi" w:hAnsiTheme="majorHAnsi"/>
          <w:sz w:val="22"/>
          <w:szCs w:val="22"/>
        </w:rPr>
        <w:t xml:space="preserve">Termin realizacji – </w:t>
      </w:r>
      <w:r>
        <w:rPr>
          <w:rFonts w:eastAsia="Times New Roman" w:cs="Calibri Light" w:ascii="Cambria" w:hAnsi="Cambria" w:asciiTheme="majorHAnsi" w:hAnsiTheme="majorHAnsi"/>
          <w:color w:val="auto"/>
          <w:kern w:val="0"/>
          <w:sz w:val="22"/>
          <w:szCs w:val="22"/>
          <w:lang w:val="pl-PL" w:eastAsia="pl-PL" w:bidi="ar-SA"/>
        </w:rPr>
        <w:t xml:space="preserve">60 </w:t>
      </w:r>
      <w:r>
        <w:rPr>
          <w:rFonts w:eastAsia="Times New Roman" w:cs="Calibri Light" w:ascii="Cambria" w:hAnsi="Cambria" w:asciiTheme="majorHAnsi" w:hAnsiTheme="majorHAnsi"/>
          <w:sz w:val="22"/>
          <w:szCs w:val="22"/>
          <w:lang w:eastAsia="pl-PL"/>
        </w:rPr>
        <w:t>dni od daty podpisania umowy</w:t>
      </w:r>
    </w:p>
    <w:p>
      <w:pPr>
        <w:pStyle w:val="ListParagraph"/>
        <w:ind w:left="360" w:hanging="0"/>
        <w:jc w:val="both"/>
        <w:rPr>
          <w:rFonts w:ascii="Cambria" w:hAnsi="Cambria"/>
        </w:rPr>
      </w:pPr>
      <w:r>
        <w:rPr>
          <w:rFonts w:ascii="Cambria" w:hAnsi="Cambria" w:asciiTheme="majorHAnsi" w:hAnsiTheme="majorHAnsi"/>
          <w:b/>
          <w:bCs/>
          <w:sz w:val="22"/>
          <w:szCs w:val="22"/>
        </w:rPr>
        <w:t xml:space="preserve">Kody CPV – </w:t>
      </w:r>
    </w:p>
    <w:p>
      <w:pPr>
        <w:pStyle w:val="ListParagraph"/>
        <w:widowControl w:val="false"/>
        <w:numPr>
          <w:ilvl w:val="0"/>
          <w:numId w:val="19"/>
        </w:numPr>
        <w:suppressAutoHyphens w:val="true"/>
        <w:spacing w:lineRule="auto" w:line="276" w:before="0" w:after="200"/>
        <w:ind w:left="851" w:right="-1" w:hanging="142"/>
        <w:contextualSpacing/>
        <w:jc w:val="both"/>
        <w:rPr/>
      </w:pPr>
      <w:r>
        <w:rPr>
          <w:rStyle w:val="Markedcontent"/>
          <w:rFonts w:eastAsia="Lucida Sans Unicode" w:cs="Calibri" w:ascii="Cambria" w:hAnsi="Cambria" w:asciiTheme="majorHAnsi" w:hAnsiTheme="majorHAnsi"/>
          <w:b w:val="false"/>
          <w:bCs w:val="false"/>
          <w:color w:val="000000"/>
          <w:sz w:val="22"/>
          <w:szCs w:val="22"/>
          <w:u w:val="none"/>
        </w:rPr>
        <w:t xml:space="preserve">32232000-8 Sprzęt wideokonferencyjny </w:t>
      </w:r>
    </w:p>
    <w:p>
      <w:pPr>
        <w:pStyle w:val="Zawartolisty"/>
        <w:widowControl w:val="false"/>
        <w:numPr>
          <w:ilvl w:val="0"/>
          <w:numId w:val="19"/>
        </w:numPr>
        <w:suppressAutoHyphens w:val="true"/>
        <w:spacing w:lineRule="auto" w:line="276" w:before="0" w:after="200"/>
        <w:ind w:left="851" w:right="-1" w:hanging="142"/>
        <w:contextualSpacing/>
        <w:jc w:val="both"/>
        <w:rPr/>
      </w:pPr>
      <w:r>
        <w:rPr>
          <w:rStyle w:val="Markedcontent"/>
          <w:rFonts w:eastAsia="Lucida Sans Unicode" w:cs="Calibri" w:ascii="Cambria" w:hAnsi="Cambria" w:asciiTheme="majorHAnsi" w:hAnsiTheme="majorHAnsi"/>
          <w:b w:val="false"/>
          <w:bCs w:val="false"/>
          <w:color w:val="000000"/>
          <w:sz w:val="22"/>
          <w:szCs w:val="22"/>
          <w:u w:val="none"/>
        </w:rPr>
        <w:t>38820000-9</w:t>
      </w:r>
      <w:r>
        <w:rPr>
          <w:rFonts w:ascii="Cambria" w:hAnsi="Cambria"/>
          <w:b w:val="false"/>
          <w:bCs w:val="false"/>
          <w:color w:val="000000"/>
          <w:sz w:val="22"/>
          <w:szCs w:val="22"/>
          <w:u w:val="none"/>
        </w:rPr>
        <w:t xml:space="preserve">Urządzenia zdalnie sterowane </w:t>
      </w:r>
    </w:p>
    <w:p>
      <w:pPr>
        <w:pStyle w:val="Zawartolisty"/>
        <w:widowControl w:val="false"/>
        <w:numPr>
          <w:ilvl w:val="0"/>
          <w:numId w:val="19"/>
        </w:numPr>
        <w:suppressAutoHyphens w:val="true"/>
        <w:spacing w:lineRule="auto" w:line="276" w:before="0" w:after="200"/>
        <w:ind w:left="851" w:right="-1" w:hanging="142"/>
        <w:contextualSpacing/>
        <w:jc w:val="both"/>
        <w:rPr/>
      </w:pPr>
      <w:r>
        <w:rPr>
          <w:rStyle w:val="Markedcontent"/>
          <w:rFonts w:eastAsia="Lucida Sans Unicode" w:cs="Calibri" w:ascii="Cambria" w:hAnsi="Cambria" w:asciiTheme="majorHAnsi" w:hAnsiTheme="majorHAnsi"/>
          <w:b w:val="false"/>
          <w:bCs w:val="false"/>
          <w:color w:val="000000"/>
          <w:sz w:val="22"/>
          <w:szCs w:val="22"/>
          <w:u w:val="none"/>
        </w:rPr>
        <w:t xml:space="preserve">42961000-0 </w:t>
      </w:r>
      <w:r>
        <w:rPr>
          <w:rFonts w:ascii="Cambria" w:hAnsi="Cambria"/>
          <w:b w:val="false"/>
          <w:bCs w:val="false"/>
          <w:color w:val="000000"/>
          <w:sz w:val="22"/>
          <w:szCs w:val="22"/>
          <w:u w:val="none"/>
        </w:rPr>
        <w:t xml:space="preserve">System sterowania i kontroli </w:t>
      </w:r>
    </w:p>
    <w:p>
      <w:pPr>
        <w:pStyle w:val="Normal"/>
        <w:shd w:val="clear" w:color="auto" w:fill="F3F3F3"/>
        <w:ind w:left="360" w:hanging="360"/>
        <w:jc w:val="both"/>
        <w:rPr>
          <w:rFonts w:ascii="Cambria" w:hAnsi="Cambria" w:cs="Calibri Light" w:asciiTheme="majorHAnsi" w:hAnsiTheme="majorHAnsi"/>
          <w:b/>
          <w:b/>
          <w:sz w:val="22"/>
          <w:szCs w:val="22"/>
        </w:rPr>
      </w:pPr>
      <w:r>
        <w:rPr>
          <w:rFonts w:cs="Calibri Light" w:ascii="Cambria" w:hAnsi="Cambria" w:asciiTheme="majorHAnsi" w:hAnsiTheme="majorHAnsi"/>
          <w:b w:val="false"/>
          <w:bCs w:val="false"/>
          <w:color w:val="000000"/>
          <w:sz w:val="22"/>
          <w:szCs w:val="22"/>
          <w:u w:val="none"/>
        </w:rPr>
        <w:t xml:space="preserve">Rozdział 4 - Warunki udziału w postępowaniu i ich opis </w:t>
      </w:r>
      <w:r>
        <w:rPr>
          <w:rFonts w:cs="Calibri Light" w:ascii="Cambria" w:hAnsi="Cambria" w:asciiTheme="majorHAnsi" w:hAnsiTheme="majorHAnsi"/>
          <w:b w:val="false"/>
          <w:bCs w:val="false"/>
          <w:i/>
          <w:color w:val="000000"/>
          <w:sz w:val="22"/>
          <w:szCs w:val="22"/>
          <w:u w:val="none"/>
        </w:rPr>
        <w:t>(</w:t>
      </w:r>
      <w:r>
        <w:rPr>
          <w:rFonts w:cs="Calibri Light" w:ascii="Cambria" w:hAnsi="Cambria" w:asciiTheme="majorHAnsi" w:hAnsiTheme="majorHAnsi"/>
          <w:b/>
          <w:bCs/>
          <w:i/>
          <w:color w:val="000000"/>
          <w:sz w:val="22"/>
          <w:szCs w:val="22"/>
          <w:u w:val="none"/>
        </w:rPr>
        <w:t>je</w:t>
      </w:r>
      <w:r>
        <w:rPr>
          <w:rFonts w:cs="Calibri Light" w:ascii="Cambria" w:hAnsi="Cambria" w:asciiTheme="majorHAnsi" w:hAnsiTheme="majorHAnsi"/>
          <w:b/>
          <w:bCs/>
          <w:i/>
          <w:sz w:val="22"/>
          <w:szCs w:val="22"/>
        </w:rPr>
        <w:t>ż</w:t>
      </w:r>
      <w:r>
        <w:rPr>
          <w:rFonts w:cs="Calibri Light" w:ascii="Cambria" w:hAnsi="Cambria" w:asciiTheme="majorHAnsi" w:hAnsiTheme="majorHAnsi"/>
          <w:b/>
          <w:i/>
          <w:sz w:val="22"/>
          <w:szCs w:val="22"/>
        </w:rPr>
        <w:t>eli są wymagane)</w:t>
      </w:r>
    </w:p>
    <w:p>
      <w:pPr>
        <w:pStyle w:val="Normal"/>
        <w:jc w:val="both"/>
        <w:rPr>
          <w:rFonts w:ascii="Cambria" w:hAnsi="Cambria" w:cs="Calibri Light" w:asciiTheme="majorHAnsi" w:hAnsiTheme="majorHAnsi"/>
          <w:b/>
          <w:b/>
          <w:sz w:val="22"/>
          <w:szCs w:val="22"/>
        </w:rPr>
      </w:pPr>
      <w:r>
        <w:rPr>
          <w:rFonts w:cs="Calibri Light" w:ascii="Cambria" w:hAnsi="Cambria" w:asciiTheme="majorHAnsi" w:hAnsiTheme="majorHAnsi"/>
          <w:sz w:val="22"/>
          <w:szCs w:val="22"/>
        </w:rPr>
        <w:tab/>
      </w:r>
    </w:p>
    <w:p>
      <w:pPr>
        <w:pStyle w:val="WWTekstpodstawowywcity2"/>
        <w:ind w:left="0" w:hanging="0"/>
        <w:rPr>
          <w:rFonts w:ascii="Cambria" w:hAnsi="Cambria" w:cs="Calibri Light" w:asciiTheme="majorHAnsi" w:hAnsiTheme="majorHAnsi"/>
          <w:sz w:val="22"/>
          <w:szCs w:val="22"/>
        </w:rPr>
      </w:pPr>
      <w:r>
        <w:rPr>
          <w:rFonts w:cs="Calibri Light" w:ascii="Cambria" w:hAnsi="Cambria" w:asciiTheme="majorHAnsi" w:hAnsiTheme="majorHAnsi"/>
          <w:sz w:val="22"/>
          <w:szCs w:val="22"/>
        </w:rPr>
        <w:t>O udzielenie zamówienia publicznego ubiegać się mogą wykonawcy, którzy spełniają poniższe warunki udziału w postępowaniu.</w:t>
      </w:r>
    </w:p>
    <w:p>
      <w:pPr>
        <w:pStyle w:val="WWTekstpodstawowywcity2"/>
        <w:ind w:left="0" w:hanging="0"/>
        <w:rPr>
          <w:rFonts w:ascii="Cambria" w:hAnsi="Cambria" w:cs="Calibri Light" w:asciiTheme="majorHAnsi" w:hAnsiTheme="majorHAnsi"/>
          <w:sz w:val="22"/>
          <w:szCs w:val="22"/>
        </w:rPr>
      </w:pPr>
      <w:r>
        <w:rPr>
          <w:rFonts w:cs="Calibri Light" w:ascii="Cambria" w:hAnsi="Cambria"/>
          <w:sz w:val="22"/>
          <w:szCs w:val="22"/>
        </w:rPr>
      </w:r>
    </w:p>
    <w:p>
      <w:pPr>
        <w:pStyle w:val="Normal"/>
        <w:numPr>
          <w:ilvl w:val="0"/>
          <w:numId w:val="9"/>
        </w:numPr>
        <w:tabs>
          <w:tab w:val="clear" w:pos="708"/>
          <w:tab w:val="left" w:pos="0" w:leader="none"/>
        </w:tabs>
        <w:jc w:val="both"/>
        <w:rPr>
          <w:rFonts w:ascii="Cambria" w:hAnsi="Cambria" w:cs="Calibri Light" w:asciiTheme="majorHAnsi" w:hAnsiTheme="majorHAnsi"/>
          <w:bCs/>
          <w:i/>
          <w:i/>
          <w:sz w:val="22"/>
          <w:szCs w:val="22"/>
        </w:rPr>
      </w:pPr>
      <w:r>
        <w:rPr>
          <w:rFonts w:cs="Calibri Light" w:ascii="Cambria" w:hAnsi="Cambria" w:asciiTheme="majorHAnsi" w:hAnsiTheme="majorHAnsi"/>
          <w:bCs/>
          <w:i/>
          <w:sz w:val="22"/>
          <w:szCs w:val="22"/>
        </w:rPr>
        <w:t>Zdolność do występowania w obrocie gospodarczym.</w:t>
      </w:r>
    </w:p>
    <w:p>
      <w:pPr>
        <w:pStyle w:val="Normal"/>
        <w:jc w:val="both"/>
        <w:rPr>
          <w:rFonts w:ascii="Cambria" w:hAnsi="Cambria" w:cs="Calibri Light" w:asciiTheme="majorHAnsi" w:hAnsiTheme="majorHAnsi"/>
          <w:bCs/>
          <w:sz w:val="22"/>
          <w:szCs w:val="22"/>
          <w:u w:val="single"/>
        </w:rPr>
      </w:pPr>
      <w:r>
        <w:rPr>
          <w:rFonts w:cs="Calibri Light" w:ascii="Cambria" w:hAnsi="Cambria" w:asciiTheme="majorHAnsi" w:hAnsiTheme="majorHAnsi"/>
          <w:bCs/>
          <w:sz w:val="22"/>
          <w:szCs w:val="22"/>
          <w:u w:val="single"/>
        </w:rPr>
        <w:t>Sposób oceny:</w:t>
      </w:r>
    </w:p>
    <w:p>
      <w:pPr>
        <w:pStyle w:val="Normal"/>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nie dokonuje opisu sposobu spełniania warunku.</w:t>
      </w:r>
    </w:p>
    <w:p>
      <w:pPr>
        <w:pStyle w:val="Normal"/>
        <w:tabs>
          <w:tab w:val="clear" w:pos="708"/>
          <w:tab w:val="left" w:pos="0" w:leader="none"/>
        </w:tabs>
        <w:ind w:left="720" w:hanging="0"/>
        <w:jc w:val="both"/>
        <w:rPr>
          <w:rFonts w:ascii="Cambria" w:hAnsi="Cambria" w:cs="Calibri Light" w:asciiTheme="majorHAnsi" w:hAnsiTheme="majorHAnsi"/>
          <w:bCs/>
          <w:sz w:val="22"/>
          <w:szCs w:val="22"/>
        </w:rPr>
      </w:pPr>
      <w:r>
        <w:rPr>
          <w:rFonts w:cs="Calibri Light" w:ascii="Cambria" w:hAnsi="Cambria"/>
          <w:bCs/>
          <w:sz w:val="22"/>
          <w:szCs w:val="22"/>
        </w:rPr>
      </w:r>
    </w:p>
    <w:p>
      <w:pPr>
        <w:pStyle w:val="Normal"/>
        <w:numPr>
          <w:ilvl w:val="0"/>
          <w:numId w:val="9"/>
        </w:numPr>
        <w:tabs>
          <w:tab w:val="clear" w:pos="708"/>
          <w:tab w:val="left" w:pos="0" w:leader="none"/>
        </w:tabs>
        <w:jc w:val="both"/>
        <w:rPr>
          <w:rFonts w:ascii="Cambria" w:hAnsi="Cambria" w:cs="Calibri Light" w:asciiTheme="majorHAnsi" w:hAnsiTheme="majorHAnsi"/>
          <w:bCs/>
          <w:i/>
          <w:i/>
          <w:sz w:val="22"/>
          <w:szCs w:val="22"/>
        </w:rPr>
      </w:pPr>
      <w:r>
        <w:rPr>
          <w:rFonts w:cs="Calibri Light" w:ascii="Cambria" w:hAnsi="Cambria" w:asciiTheme="majorHAnsi" w:hAnsiTheme="majorHAnsi"/>
          <w:bCs/>
          <w:i/>
          <w:sz w:val="22"/>
          <w:szCs w:val="22"/>
        </w:rPr>
        <w:t>Uprawnienia do prowadzenia określonej działalności gospodarczej lub zawodowej, o ile to  wynika to z odrębnych przepisów.</w:t>
      </w:r>
    </w:p>
    <w:p>
      <w:pPr>
        <w:pStyle w:val="Normal"/>
        <w:jc w:val="both"/>
        <w:rPr>
          <w:rFonts w:ascii="Cambria" w:hAnsi="Cambria" w:cs="Calibri Light" w:asciiTheme="majorHAnsi" w:hAnsiTheme="majorHAnsi"/>
          <w:bCs/>
          <w:sz w:val="22"/>
          <w:szCs w:val="22"/>
          <w:u w:val="single"/>
        </w:rPr>
      </w:pPr>
      <w:r>
        <w:rPr>
          <w:rFonts w:cs="Calibri Light" w:ascii="Cambria" w:hAnsi="Cambria" w:asciiTheme="majorHAnsi" w:hAnsiTheme="majorHAnsi"/>
          <w:bCs/>
          <w:sz w:val="22"/>
          <w:szCs w:val="22"/>
          <w:u w:val="single"/>
        </w:rPr>
        <w:t>Sposób oceny:</w:t>
      </w:r>
    </w:p>
    <w:p>
      <w:pPr>
        <w:pStyle w:val="Normal"/>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nie dokonuje opisu sposobu spełniania warunku.</w:t>
      </w:r>
    </w:p>
    <w:p>
      <w:pPr>
        <w:pStyle w:val="Normal"/>
        <w:jc w:val="both"/>
        <w:rPr>
          <w:rFonts w:ascii="Cambria" w:hAnsi="Cambria" w:cs="Calibri Light" w:asciiTheme="majorHAnsi" w:hAnsiTheme="majorHAnsi"/>
          <w:i/>
          <w:i/>
          <w:sz w:val="22"/>
          <w:szCs w:val="22"/>
        </w:rPr>
      </w:pPr>
      <w:r>
        <w:rPr>
          <w:rFonts w:cs="Calibri Light" w:ascii="Cambria" w:hAnsi="Cambria"/>
          <w:i/>
          <w:sz w:val="22"/>
          <w:szCs w:val="22"/>
        </w:rPr>
      </w:r>
    </w:p>
    <w:p>
      <w:pPr>
        <w:pStyle w:val="Normal"/>
        <w:numPr>
          <w:ilvl w:val="0"/>
          <w:numId w:val="9"/>
        </w:numPr>
        <w:tabs>
          <w:tab w:val="clear" w:pos="708"/>
          <w:tab w:val="left" w:pos="426" w:leader="none"/>
        </w:tabs>
        <w:suppressAutoHyphens w:val="true"/>
        <w:jc w:val="both"/>
        <w:rPr>
          <w:rFonts w:ascii="Cambria" w:hAnsi="Cambria" w:cs="Calibri Light" w:asciiTheme="majorHAnsi" w:hAnsiTheme="majorHAnsi"/>
          <w:i/>
          <w:i/>
          <w:sz w:val="22"/>
          <w:szCs w:val="22"/>
        </w:rPr>
      </w:pPr>
      <w:r>
        <w:rPr>
          <w:rFonts w:cs="Calibri Light" w:ascii="Cambria" w:hAnsi="Cambria" w:asciiTheme="majorHAnsi" w:hAnsiTheme="majorHAnsi"/>
          <w:i/>
          <w:sz w:val="22"/>
          <w:szCs w:val="22"/>
        </w:rPr>
        <w:t>Sytuacji finansowej lub ekonomicznej.</w:t>
      </w:r>
    </w:p>
    <w:p>
      <w:pPr>
        <w:pStyle w:val="Normal"/>
        <w:jc w:val="both"/>
        <w:rPr>
          <w:rFonts w:ascii="Cambria" w:hAnsi="Cambria" w:cs="Calibri Light" w:asciiTheme="majorHAnsi" w:hAnsiTheme="majorHAnsi"/>
          <w:bCs/>
          <w:sz w:val="22"/>
          <w:szCs w:val="22"/>
          <w:u w:val="single"/>
        </w:rPr>
      </w:pPr>
      <w:r>
        <w:rPr>
          <w:rFonts w:cs="Calibri Light" w:ascii="Cambria" w:hAnsi="Cambria" w:asciiTheme="majorHAnsi" w:hAnsiTheme="majorHAnsi"/>
          <w:bCs/>
          <w:sz w:val="22"/>
          <w:szCs w:val="22"/>
          <w:u w:val="single"/>
        </w:rPr>
        <w:t>Sposób oceny:</w:t>
      </w:r>
    </w:p>
    <w:p>
      <w:pPr>
        <w:pStyle w:val="Normal"/>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nie dokonuje opisu sposobu spełniania warunku.</w:t>
      </w:r>
    </w:p>
    <w:p>
      <w:pPr>
        <w:pStyle w:val="Normal"/>
        <w:jc w:val="both"/>
        <w:rPr>
          <w:rFonts w:ascii="Cambria" w:hAnsi="Cambria" w:cs="Calibri Light" w:asciiTheme="majorHAnsi" w:hAnsiTheme="majorHAnsi"/>
          <w:i/>
          <w:i/>
          <w:sz w:val="22"/>
          <w:szCs w:val="22"/>
        </w:rPr>
      </w:pPr>
      <w:r>
        <w:rPr>
          <w:rFonts w:cs="Calibri Light" w:ascii="Cambria" w:hAnsi="Cambria"/>
          <w:i/>
          <w:sz w:val="22"/>
          <w:szCs w:val="22"/>
        </w:rPr>
      </w:r>
    </w:p>
    <w:p>
      <w:pPr>
        <w:pStyle w:val="Normal"/>
        <w:numPr>
          <w:ilvl w:val="0"/>
          <w:numId w:val="9"/>
        </w:numPr>
        <w:jc w:val="both"/>
        <w:rPr>
          <w:rFonts w:ascii="Cambria" w:hAnsi="Cambria" w:cs="Calibri Light" w:asciiTheme="majorHAnsi" w:hAnsiTheme="majorHAnsi"/>
          <w:bCs/>
          <w:i/>
          <w:i/>
          <w:sz w:val="22"/>
          <w:szCs w:val="22"/>
        </w:rPr>
      </w:pPr>
      <w:r>
        <w:rPr>
          <w:rFonts w:cs="Calibri Light" w:ascii="Cambria" w:hAnsi="Cambria" w:asciiTheme="majorHAnsi" w:hAnsiTheme="majorHAnsi"/>
          <w:bCs/>
          <w:i/>
          <w:sz w:val="22"/>
          <w:szCs w:val="22"/>
        </w:rPr>
        <w:t>Zdolności technicznej lub zawodowej.</w:t>
      </w:r>
    </w:p>
    <w:p>
      <w:pPr>
        <w:pStyle w:val="Normal"/>
        <w:jc w:val="both"/>
        <w:rPr>
          <w:rFonts w:ascii="Cambria" w:hAnsi="Cambria" w:cs="Calibri Light" w:asciiTheme="majorHAnsi" w:hAnsiTheme="majorHAnsi"/>
          <w:bCs/>
          <w:sz w:val="22"/>
          <w:szCs w:val="22"/>
        </w:rPr>
      </w:pPr>
      <w:r>
        <w:rPr>
          <w:rFonts w:cs="Calibri Light" w:ascii="Cambria" w:hAnsi="Cambria" w:asciiTheme="majorHAnsi" w:hAnsiTheme="majorHAnsi"/>
          <w:bCs/>
          <w:sz w:val="22"/>
          <w:szCs w:val="22"/>
          <w:u w:val="single"/>
        </w:rPr>
        <w:t>Sposób oceny:</w:t>
      </w:r>
    </w:p>
    <w:p>
      <w:pPr>
        <w:pStyle w:val="Normal"/>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nie dokonuje opisu sposobu spełniania warunku.</w:t>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shd w:val="clear" w:color="auto" w:fill="F3F3F3"/>
        <w:tabs>
          <w:tab w:val="clear" w:pos="708"/>
          <w:tab w:val="left" w:pos="426" w:leader="none"/>
        </w:tabs>
        <w:ind w:left="284" w:hanging="360"/>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 xml:space="preserve">Rozdział 5 - Dokumenty na potwierdzenie warunków udziału w postępowaniu </w:t>
      </w:r>
      <w:r>
        <w:rPr>
          <w:rFonts w:cs="Calibri Light" w:ascii="Cambria" w:hAnsi="Cambria" w:asciiTheme="majorHAnsi" w:hAnsiTheme="majorHAnsi"/>
          <w:b/>
          <w:i/>
          <w:sz w:val="22"/>
          <w:szCs w:val="22"/>
        </w:rPr>
        <w:t>(jeżeli są wymagane)</w:t>
      </w:r>
    </w:p>
    <w:p>
      <w:pPr>
        <w:pStyle w:val="Normal"/>
        <w:jc w:val="both"/>
        <w:rPr>
          <w:rFonts w:ascii="Cambria" w:hAnsi="Cambria" w:cs="Calibri Light" w:asciiTheme="majorHAnsi" w:hAnsiTheme="majorHAnsi"/>
          <w:i/>
          <w:i/>
          <w:sz w:val="22"/>
          <w:szCs w:val="22"/>
        </w:rPr>
      </w:pPr>
      <w:r>
        <w:rPr>
          <w:rFonts w:cs="Calibri Light" w:ascii="Cambria" w:hAnsi="Cambria"/>
          <w:i/>
          <w:sz w:val="22"/>
          <w:szCs w:val="22"/>
        </w:rPr>
      </w:r>
    </w:p>
    <w:p>
      <w:pPr>
        <w:pStyle w:val="Normal"/>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 uwagi na to, iż zamawiający w niniejszym postępowaniu nie stawia warunków udziału w postępowaniu, tym samym nie wymaga się złożenia dokumentów na ich potwierdzenie.</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6 - Pozostałe dokumenty wymagane od wykonawców w ofercie</w:t>
      </w:r>
    </w:p>
    <w:p>
      <w:pPr>
        <w:pStyle w:val="Normal"/>
        <w:jc w:val="both"/>
        <w:rPr>
          <w:rFonts w:ascii="Cambria" w:hAnsi="Cambria" w:cs="Calibri Light" w:asciiTheme="majorHAnsi" w:hAnsiTheme="majorHAnsi"/>
          <w:b/>
          <w:b/>
          <w:sz w:val="22"/>
          <w:szCs w:val="22"/>
        </w:rPr>
      </w:pPr>
      <w:r>
        <w:rPr>
          <w:rFonts w:cs="Calibri Light" w:ascii="Cambria" w:hAnsi="Cambria"/>
          <w:b/>
          <w:sz w:val="22"/>
          <w:szCs w:val="22"/>
        </w:rPr>
      </w:r>
    </w:p>
    <w:p>
      <w:pPr>
        <w:pStyle w:val="ListParagraph"/>
        <w:numPr>
          <w:ilvl w:val="0"/>
          <w:numId w:val="3"/>
        </w:numPr>
        <w:tabs>
          <w:tab w:val="clear" w:pos="708"/>
          <w:tab w:val="left" w:pos="0" w:leader="none"/>
        </w:tabs>
        <w:ind w:left="284" w:hanging="284"/>
        <w:jc w:val="both"/>
        <w:rPr>
          <w:rFonts w:ascii="Cambria" w:hAnsi="Cambria" w:cs="Calibri Light" w:asciiTheme="majorHAnsi" w:hAnsiTheme="majorHAnsi"/>
          <w:b/>
          <w:b/>
          <w:sz w:val="22"/>
          <w:szCs w:val="22"/>
        </w:rPr>
      </w:pPr>
      <w:r>
        <w:rPr>
          <w:rFonts w:cs="Calibri Light" w:ascii="Cambria" w:hAnsi="Cambria" w:asciiTheme="majorHAnsi" w:hAnsiTheme="majorHAnsi"/>
          <w:sz w:val="22"/>
          <w:szCs w:val="22"/>
        </w:rPr>
        <w:t xml:space="preserve">Wypełniony i podpisany formularz ofertowy – </w:t>
      </w:r>
      <w:r>
        <w:rPr>
          <w:rFonts w:cs="Calibri Light" w:ascii="Cambria" w:hAnsi="Cambria" w:asciiTheme="majorHAnsi" w:hAnsiTheme="majorHAnsi"/>
          <w:i/>
          <w:sz w:val="22"/>
          <w:szCs w:val="22"/>
        </w:rPr>
        <w:t>załącznik nr 1 do zapytania,</w:t>
      </w:r>
    </w:p>
    <w:p>
      <w:pPr>
        <w:pStyle w:val="ListParagraph"/>
        <w:numPr>
          <w:ilvl w:val="0"/>
          <w:numId w:val="3"/>
        </w:numPr>
        <w:tabs>
          <w:tab w:val="clear" w:pos="708"/>
          <w:tab w:val="left" w:pos="0" w:leader="none"/>
        </w:tabs>
        <w:ind w:left="284" w:hanging="284"/>
        <w:jc w:val="both"/>
        <w:rPr>
          <w:rFonts w:ascii="Cambria" w:hAnsi="Cambria" w:cs="Calibri Light" w:asciiTheme="majorHAnsi" w:hAnsiTheme="majorHAnsi"/>
          <w:b/>
          <w:b/>
          <w:sz w:val="22"/>
          <w:szCs w:val="22"/>
        </w:rPr>
      </w:pPr>
      <w:r>
        <w:rPr>
          <w:rFonts w:cs="Calibri Light" w:ascii="Cambria" w:hAnsi="Cambria" w:asciiTheme="majorHAnsi" w:hAnsiTheme="majorHAnsi"/>
          <w:kern w:val="2"/>
          <w:sz w:val="22"/>
          <w:szCs w:val="22"/>
        </w:rPr>
        <w:t>Odpis z właściwego rejestru (KRS) lub z centralnej ewidencji i informacji o działalności gospodarczej,</w:t>
      </w:r>
    </w:p>
    <w:p>
      <w:pPr>
        <w:pStyle w:val="ListParagraph"/>
        <w:numPr>
          <w:ilvl w:val="0"/>
          <w:numId w:val="3"/>
        </w:numPr>
        <w:tabs>
          <w:tab w:val="clear" w:pos="708"/>
          <w:tab w:val="left" w:pos="0" w:leader="none"/>
        </w:tabs>
        <w:ind w:left="284" w:hanging="284"/>
        <w:jc w:val="both"/>
        <w:rPr>
          <w:rFonts w:ascii="Cambria" w:hAnsi="Cambria" w:cs="Calibri Light" w:asciiTheme="majorHAnsi" w:hAnsiTheme="majorHAnsi"/>
          <w:b/>
          <w:b/>
          <w:sz w:val="22"/>
          <w:szCs w:val="22"/>
        </w:rPr>
      </w:pPr>
      <w:r>
        <w:rPr>
          <w:rFonts w:cs="Calibri Light" w:ascii="Cambria" w:hAnsi="Cambria" w:asciiTheme="majorHAnsi" w:hAnsiTheme="majorHAnsi"/>
          <w:sz w:val="22"/>
          <w:szCs w:val="22"/>
        </w:rPr>
        <w:t>Pełnomocnictwo (w przypadku reprezentowania wykonawcy przez pełnomocnika).</w:t>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7 – Dodatkowe informacje do wiadomości wykonawców</w:t>
      </w:r>
    </w:p>
    <w:p>
      <w:pPr>
        <w:pStyle w:val="WWTekstpodstawowywcity2"/>
        <w:rPr>
          <w:rFonts w:ascii="Cambria" w:hAnsi="Cambria" w:cs="Calibri Light" w:asciiTheme="majorHAnsi" w:hAnsiTheme="majorHAnsi"/>
          <w:sz w:val="22"/>
          <w:szCs w:val="22"/>
        </w:rPr>
      </w:pPr>
      <w:r>
        <w:rPr>
          <w:rFonts w:cs="Calibri Light" w:ascii="Cambria" w:hAnsi="Cambria"/>
          <w:sz w:val="22"/>
          <w:szCs w:val="22"/>
        </w:rPr>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Za wykona</w:t>
      </w:r>
      <w:r>
        <w:rPr>
          <w:rFonts w:cs="Calibri Light" w:ascii="Cambria" w:hAnsi="Cambria" w:asciiTheme="majorHAnsi" w:hAnsiTheme="majorHAnsi"/>
          <w:color w:val="000000"/>
          <w:sz w:val="22"/>
          <w:szCs w:val="22"/>
        </w:rPr>
        <w:t xml:space="preserve">wcę uważa się </w:t>
      </w:r>
      <w:r>
        <w:rPr>
          <w:rFonts w:cs="Calibri Light" w:ascii="Cambria" w:hAnsi="Cambria" w:asciiTheme="majorHAnsi" w:hAnsiTheme="majorHAnsi"/>
          <w:color w:val="000000"/>
          <w:sz w:val="22"/>
          <w:szCs w:val="22"/>
          <w:shd w:fill="FFFFFF" w:val="clear"/>
        </w:rPr>
        <w:t>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pPr>
        <w:pStyle w:val="WWTekstpodstawowywcity2"/>
        <w:numPr>
          <w:ilvl w:val="0"/>
          <w:numId w:val="13"/>
        </w:numPr>
        <w:ind w:left="426" w:hanging="426"/>
        <w:rPr>
          <w:color w:val="000000"/>
        </w:rPr>
      </w:pPr>
      <w:r>
        <w:rPr>
          <w:rFonts w:cs="Calibri Light" w:ascii="Cambria" w:hAnsi="Cambria" w:asciiTheme="majorHAnsi" w:hAnsiTheme="majorHAnsi"/>
          <w:color w:val="000000"/>
          <w:sz w:val="22"/>
          <w:szCs w:val="22"/>
        </w:rPr>
        <w:t xml:space="preserve">Wykonawca jest zobowiązany do przedstawienia </w:t>
      </w:r>
      <w:r>
        <w:rPr>
          <w:rFonts w:cs="Calibri Light" w:ascii="Cambria" w:hAnsi="Cambria" w:asciiTheme="majorHAnsi" w:hAnsiTheme="majorHAnsi"/>
          <w:b/>
          <w:color w:val="000000"/>
          <w:sz w:val="22"/>
          <w:szCs w:val="22"/>
          <w:u w:val="single"/>
        </w:rPr>
        <w:t>oferty</w:t>
      </w:r>
      <w:r>
        <w:rPr>
          <w:rFonts w:cs="Calibri Light" w:ascii="Cambria" w:hAnsi="Cambria" w:asciiTheme="majorHAnsi" w:hAnsiTheme="majorHAnsi"/>
          <w:color w:val="000000"/>
          <w:sz w:val="22"/>
          <w:szCs w:val="22"/>
        </w:rPr>
        <w:t xml:space="preserve"> w języku polskim w formie lub postaci elektronicznej lub kopii zgodnie z postanowieniami rozdziału 14.</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color w:val="000000"/>
          <w:sz w:val="22"/>
          <w:szCs w:val="22"/>
        </w:rPr>
        <w:t xml:space="preserve">Wykonawca może złożyć </w:t>
      </w:r>
      <w:r>
        <w:rPr>
          <w:rFonts w:cs="Calibri Light" w:ascii="Cambria" w:hAnsi="Cambria" w:asciiTheme="majorHAnsi" w:hAnsiTheme="majorHAnsi"/>
          <w:sz w:val="22"/>
          <w:szCs w:val="22"/>
        </w:rPr>
        <w:t>tylko jedną ofertę.</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Oferta (wszystkie dokumenty i oświadczenia) winna być podpisana przez wykonawcę zgodnie z wpisem do właściwego rejestru lub przez pełnomocnika upoważnionego do reprezentowania wykonawcy.</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W przypadku reprezentowania wykonawcy przez pełnomocnika do składanej oferty należy dołączyć odpowiednie pełnomocnictwo.</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Formularze i oświadczenia powinny zostać wypełnione, podpisane i dołączone do oferty.</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Zamawiający nie dopuszcza składania ofert częściowych. </w:t>
      </w:r>
    </w:p>
    <w:p>
      <w:pPr>
        <w:pStyle w:val="WWTekstpodstawowywcity2"/>
        <w:numPr>
          <w:ilvl w:val="0"/>
          <w:numId w:val="13"/>
        </w:numPr>
        <w:ind w:left="426" w:hanging="426"/>
        <w:rPr>
          <w:rFonts w:ascii="Cambria" w:hAnsi="Cambria" w:cs="Calibri Light" w:asciiTheme="majorHAnsi" w:hAnsiTheme="majorHAnsi"/>
          <w:sz w:val="22"/>
          <w:szCs w:val="22"/>
        </w:rPr>
      </w:pPr>
      <w:r>
        <w:rPr>
          <w:rFonts w:eastAsia="Bookman Old Style" w:cs="Calibri Light" w:ascii="Cambria" w:hAnsi="Cambria" w:asciiTheme="majorHAnsi" w:hAnsiTheme="majorHAnsi"/>
          <w:sz w:val="22"/>
          <w:szCs w:val="22"/>
        </w:rPr>
        <w:t>Zamawiający nie dopuszcza składania ofert wariantowych przewidujących inny sposób realizacji zamówienia niż określony w niniejszym ogłoszeniu o zamówieniu.</w:t>
      </w:r>
    </w:p>
    <w:p>
      <w:pPr>
        <w:pStyle w:val="WWTekstpodstawowywcity2"/>
        <w:numPr>
          <w:ilvl w:val="0"/>
          <w:numId w:val="13"/>
        </w:numPr>
        <w:ind w:left="426" w:hanging="426"/>
        <w:rPr>
          <w:rFonts w:ascii="Cambria" w:hAnsi="Cambria" w:cs="Calibri Light" w:asciiTheme="majorHAnsi" w:hAnsiTheme="majorHAnsi"/>
          <w:sz w:val="22"/>
          <w:szCs w:val="22"/>
        </w:rPr>
      </w:pPr>
      <w:r>
        <w:rPr>
          <w:rFonts w:eastAsia="Bookman Old Style" w:cs="Calibri Light" w:ascii="Cambria" w:hAnsi="Cambria" w:asciiTheme="majorHAnsi" w:hAnsiTheme="majorHAnsi"/>
          <w:sz w:val="22"/>
          <w:szCs w:val="22"/>
        </w:rPr>
        <w:t>Zamawiający nie przewiduje udzielenia zamówień uzupełniających polegających na powtórzeniu usług.</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może przed upływem terminu składania ofert zmienić ogłoszenie o zamówieniu lub zaproszenie do składania ofert. O dokonanej zmianie zamawiający niezwłocznie informuje na stronie internetowej, na której opublikowano ogłoszenie o zamówieniu, a w przypadku zapytania ofertowego wykonawców, którym je przekazano.</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Procedura opisana w ust. 10 dotyczy również odpowiedzi i wyjaśnień udzielanych na pytania zadane w trakcie postępowania.</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Jeżeli w wyniku dokonanej zmiany, udzielonych odpowiedzi lub wyjaśnień niezbędny jest dodatkowy czas na przygotowanie oferty lub wprowadzenie zmian w ofercie, zamawiający może przedłużyć termin skłania ofert.</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color w:val="000000"/>
          <w:sz w:val="22"/>
          <w:szCs w:val="22"/>
        </w:rPr>
        <w:t>Wykonawca może zwrócić się do zamawiającego o wyjaśnienie treści ogłoszenia o zamówieniu lub dokumentów zamówienia.</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udziela wyjaśnień albo pozostawia wniosek bez rozpoznania.</w:t>
      </w:r>
    </w:p>
    <w:p>
      <w:pPr>
        <w:pStyle w:val="WWTekstpodstawowywcity2"/>
        <w:numPr>
          <w:ilvl w:val="0"/>
          <w:numId w:val="13"/>
        </w:numPr>
        <w:ind w:left="426" w:hanging="426"/>
        <w:rPr>
          <w:rFonts w:ascii="Cambria" w:hAnsi="Cambria" w:cs="Calibri Light" w:asciiTheme="majorHAnsi" w:hAnsiTheme="majorHAnsi"/>
          <w:sz w:val="22"/>
          <w:szCs w:val="22"/>
        </w:rPr>
      </w:pPr>
      <w:r>
        <w:rPr>
          <w:rFonts w:cs="Calibri Light" w:ascii="Cambria" w:hAnsi="Cambria" w:asciiTheme="majorHAnsi" w:hAnsiTheme="majorHAnsi"/>
          <w:sz w:val="22"/>
          <w:szCs w:val="22"/>
        </w:rPr>
        <w:t>Wykonawca  jest związany ofertą nie dłużej niż 30 dni od dnia upływu terminu składania ofert, przy czym pierwszym dniem terminu związania ofertą jest dzień, w którym upływa termin składania ofert.</w:t>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shd w:val="clear" w:color="auto" w:fill="F3F3F3"/>
        <w:tabs>
          <w:tab w:val="clear" w:pos="708"/>
          <w:tab w:val="left" w:pos="284" w:leader="none"/>
        </w:tabs>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8 - Podmioty występujące wspólnie</w:t>
      </w:r>
    </w:p>
    <w:p>
      <w:pPr>
        <w:pStyle w:val="Normal"/>
        <w:ind w:left="360" w:hanging="0"/>
        <w:jc w:val="both"/>
        <w:rPr>
          <w:rFonts w:ascii="Cambria" w:hAnsi="Cambria" w:cs="Calibri Light" w:asciiTheme="majorHAnsi" w:hAnsiTheme="majorHAnsi"/>
          <w:b/>
          <w:b/>
          <w:sz w:val="22"/>
          <w:szCs w:val="22"/>
        </w:rPr>
      </w:pPr>
      <w:r>
        <w:rPr>
          <w:rFonts w:cs="Calibri Light" w:ascii="Cambria" w:hAnsi="Cambria"/>
          <w:b/>
          <w:sz w:val="22"/>
          <w:szCs w:val="22"/>
        </w:rPr>
      </w:r>
    </w:p>
    <w:p>
      <w:pPr>
        <w:pStyle w:val="ListParagraph"/>
        <w:numPr>
          <w:ilvl w:val="2"/>
          <w:numId w:val="10"/>
        </w:numPr>
        <w:tabs>
          <w:tab w:val="clear" w:pos="708"/>
          <w:tab w:val="left" w:pos="426" w:leader="none"/>
        </w:tabs>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Wykonawcy mogą wspólnie ubiegać się o udzielenie niniejszego zamówienia.</w:t>
      </w:r>
    </w:p>
    <w:p>
      <w:pPr>
        <w:pStyle w:val="ListParagraph"/>
        <w:numPr>
          <w:ilvl w:val="2"/>
          <w:numId w:val="10"/>
        </w:numPr>
        <w:tabs>
          <w:tab w:val="clear" w:pos="708"/>
          <w:tab w:val="left" w:pos="426" w:leader="none"/>
        </w:tabs>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nie będzie traktował wspólników spółki cywilnej jako konsorcjum. Stąd                           w przypadku spółki cywilnej zaleca się załączenie do oferty umowy/ uchwały wspólników regulującej zasady reprezentacji, w przypadku gdy oferty nie składają wszyscy wspólnicy                       w reprezentacji łącznej (tj. nie podpisują się wszyscy na ofercie) albo oddzielne ustanowienie pełnomocnika.</w:t>
      </w:r>
    </w:p>
    <w:p>
      <w:pPr>
        <w:pStyle w:val="ListParagraph"/>
        <w:numPr>
          <w:ilvl w:val="2"/>
          <w:numId w:val="10"/>
        </w:numPr>
        <w:tabs>
          <w:tab w:val="clear" w:pos="708"/>
          <w:tab w:val="left" w:pos="426" w:leader="none"/>
        </w:tabs>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Wykonawcy występujący wspólnie w postępowaniu - w formie konsorcjum, zobowiązani są, ustanowić pełnomocnika do reprezentowania ich w postępowaniu o udzielenie zamówienia publicznego lub do reprezentowania w postępowaniu i zawarcia umowy.</w:t>
      </w:r>
    </w:p>
    <w:p>
      <w:pPr>
        <w:pStyle w:val="ListParagraph"/>
        <w:numPr>
          <w:ilvl w:val="2"/>
          <w:numId w:val="10"/>
        </w:numPr>
        <w:tabs>
          <w:tab w:val="clear" w:pos="708"/>
          <w:tab w:val="left" w:pos="426" w:leader="none"/>
        </w:tabs>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Pełnomocnictwo załączane do oferty powinno zawierać określenie postępowania, oznaczenie wykonawców występujących wspólnie, określenie pełnomocnika, określenie zakresu umocowania. </w:t>
      </w:r>
    </w:p>
    <w:p>
      <w:pPr>
        <w:pStyle w:val="ListParagraph"/>
        <w:numPr>
          <w:ilvl w:val="2"/>
          <w:numId w:val="10"/>
        </w:numPr>
        <w:tabs>
          <w:tab w:val="clear" w:pos="708"/>
          <w:tab w:val="left" w:pos="426" w:leader="none"/>
        </w:tabs>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Dokumenty, formularze i oświadczenia załączane do oferty winny być podpisane przez ustanowionego pełnomocnika albo w przypadku spółki cywilnej przez umocowanego wspólnika spółki cywilnej lub wszystkie podmioty/ osoby fizyczne składające wspólnie ofertę.</w:t>
      </w:r>
    </w:p>
    <w:p>
      <w:pPr>
        <w:pStyle w:val="ListParagraph"/>
        <w:numPr>
          <w:ilvl w:val="2"/>
          <w:numId w:val="10"/>
        </w:numPr>
        <w:tabs>
          <w:tab w:val="clear" w:pos="708"/>
          <w:tab w:val="left" w:pos="426" w:leader="none"/>
        </w:tabs>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Korespondencja będzie prowadzona z ustanowionym pełnomocnikiem.</w:t>
      </w:r>
    </w:p>
    <w:p>
      <w:pPr>
        <w:pStyle w:val="ListParagraph"/>
        <w:numPr>
          <w:ilvl w:val="2"/>
          <w:numId w:val="10"/>
        </w:numPr>
        <w:tabs>
          <w:tab w:val="clear" w:pos="708"/>
          <w:tab w:val="left" w:pos="426" w:leader="none"/>
        </w:tabs>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bCs/>
          <w:sz w:val="22"/>
          <w:szCs w:val="22"/>
        </w:rPr>
        <w:t xml:space="preserve">Wykonawcy składający ofertę wspólną ponoszą solidarną odpowiedzialność za prawidłową realizację zamówienia. </w:t>
      </w:r>
      <w:r>
        <w:rPr>
          <w:rFonts w:cs="Calibri Light" w:ascii="Cambria" w:hAnsi="Cambria" w:asciiTheme="majorHAnsi" w:hAnsiTheme="majorHAnsi"/>
          <w:sz w:val="22"/>
          <w:szCs w:val="22"/>
        </w:rPr>
        <w:t>Zamawiający może w ramach odpowiedzialności solidarnej żądać wykonania umowy w całości przez partnera kierującego lub od wszystkich partnerów łącznie lub od każdego z osobna.</w:t>
      </w:r>
    </w:p>
    <w:p>
      <w:pPr>
        <w:pStyle w:val="ListParagraph"/>
        <w:numPr>
          <w:ilvl w:val="2"/>
          <w:numId w:val="10"/>
        </w:numPr>
        <w:tabs>
          <w:tab w:val="clear" w:pos="708"/>
          <w:tab w:val="left" w:pos="426" w:leader="none"/>
        </w:tabs>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Wykonawca/Wykonawcy występujący wspólnie (konsorcjum, spółka cywilna) zobowiązani są wskazać w formularzu oferty dokładną nazwę/nazwy wszystkich podmiotów składających ofertę jak również ich NIP i REGON. Powyższe informacje umożliwią zamawiającemu weryfikację, czy osoby podpisujące ofertę lub udzielające pełnomocnictwa posiadają uprawnienia do reprezentowania wykonawcy.</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shd w:fill="F3F3F3" w:val="clear"/>
        </w:rPr>
        <w:t>Rozdział 9 - Podwykonawstwo</w:t>
      </w:r>
    </w:p>
    <w:p>
      <w:pPr>
        <w:pStyle w:val="Normal"/>
        <w:ind w:left="857" w:hanging="431"/>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Nie dotyczy.</w:t>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10 – Informacja o sposobie komunikowania się zamawiającego z wykonawcami</w:t>
      </w:r>
    </w:p>
    <w:p>
      <w:pPr>
        <w:pStyle w:val="Normal"/>
        <w:ind w:left="360" w:hanging="0"/>
        <w:jc w:val="both"/>
        <w:rPr>
          <w:rFonts w:ascii="Cambria" w:hAnsi="Cambria" w:cs="Calibri Light" w:asciiTheme="majorHAnsi" w:hAnsiTheme="majorHAnsi"/>
          <w:b/>
          <w:b/>
          <w:sz w:val="22"/>
          <w:szCs w:val="22"/>
        </w:rPr>
      </w:pPr>
      <w:r>
        <w:rPr>
          <w:rFonts w:cs="Calibri Light" w:ascii="Cambria" w:hAnsi="Cambria"/>
          <w:b/>
          <w:sz w:val="22"/>
          <w:szCs w:val="22"/>
        </w:rPr>
      </w:r>
    </w:p>
    <w:p>
      <w:pPr>
        <w:pStyle w:val="WWTekstpodstawowywcity2"/>
        <w:numPr>
          <w:ilvl w:val="0"/>
          <w:numId w:val="46"/>
        </w:numPr>
        <w:ind w:left="426" w:hanging="426"/>
        <w:rPr>
          <w:rFonts w:ascii="Cambria" w:hAnsi="Cambria" w:cs="Calibri Light" w:asciiTheme="majorHAnsi" w:hAnsiTheme="majorHAnsi"/>
          <w:b/>
          <w:b/>
          <w:sz w:val="22"/>
          <w:szCs w:val="22"/>
        </w:rPr>
      </w:pPr>
      <w:r>
        <w:rPr>
          <w:rFonts w:cs="Calibri Light" w:ascii="Cambria" w:hAnsi="Cambria" w:asciiTheme="majorHAnsi" w:hAnsiTheme="majorHAnsi"/>
          <w:b/>
          <w:bCs/>
          <w:sz w:val="22"/>
          <w:szCs w:val="22"/>
          <w:lang w:eastAsia="pl-PL"/>
        </w:rPr>
        <w:t xml:space="preserve">W niniejszym postępowaniu o udzielenie zamówienia publicznego komunikacja między </w:t>
      </w:r>
      <w:r>
        <w:rPr>
          <w:rFonts w:cs="Calibri Light" w:ascii="Cambria" w:hAnsi="Cambria" w:asciiTheme="majorHAnsi" w:hAnsiTheme="majorHAnsi"/>
          <w:b/>
          <w:sz w:val="22"/>
          <w:szCs w:val="22"/>
          <w:lang w:eastAsia="pl-PL"/>
        </w:rPr>
        <w:t xml:space="preserve">zamawiającym a wykonawcami, </w:t>
      </w:r>
      <w:r>
        <w:rPr>
          <w:rFonts w:cs="Calibri Light" w:ascii="Cambria" w:hAnsi="Cambria" w:asciiTheme="majorHAnsi" w:hAnsiTheme="majorHAnsi"/>
          <w:b/>
          <w:sz w:val="22"/>
          <w:szCs w:val="22"/>
          <w:u w:val="single"/>
          <w:lang w:eastAsia="pl-PL"/>
        </w:rPr>
        <w:t>w tym składanie ofert</w:t>
      </w:r>
      <w:r>
        <w:rPr>
          <w:rFonts w:cs="Calibri Light" w:ascii="Cambria" w:hAnsi="Cambria" w:asciiTheme="majorHAnsi" w:hAnsiTheme="majorHAnsi"/>
          <w:b/>
          <w:sz w:val="22"/>
          <w:szCs w:val="22"/>
          <w:lang w:eastAsia="pl-PL"/>
        </w:rPr>
        <w:t>, odbywa się przy użyciu środków komunikacji elektronicznej.</w:t>
      </w:r>
    </w:p>
    <w:p>
      <w:pPr>
        <w:pStyle w:val="WWTekstpodstawowywcity2"/>
        <w:numPr>
          <w:ilvl w:val="0"/>
          <w:numId w:val="47"/>
        </w:numPr>
        <w:ind w:left="426" w:hanging="426"/>
        <w:rPr>
          <w:rFonts w:ascii="Cambria" w:hAnsi="Cambria" w:cs="Calibri Light" w:asciiTheme="majorHAnsi" w:hAnsiTheme="majorHAnsi"/>
          <w:b/>
          <w:b/>
          <w:sz w:val="22"/>
          <w:szCs w:val="22"/>
        </w:rPr>
      </w:pPr>
      <w:r>
        <w:rPr>
          <w:rFonts w:cs="Calibri Light" w:ascii="Cambria" w:hAnsi="Cambria" w:asciiTheme="majorHAnsi" w:hAnsiTheme="majorHAnsi"/>
          <w:sz w:val="22"/>
          <w:szCs w:val="22"/>
        </w:rPr>
        <w:t xml:space="preserve">Każda ze stron na żądanie drugiej strony zobowiązana jest niezwłocznie potwierdzić fakt otrzymania korespondencji  przy użyciu komunikacji elektronicznej przesyłając informację zwrotną. </w:t>
      </w:r>
    </w:p>
    <w:p>
      <w:pPr>
        <w:pStyle w:val="WWTekstpodstawowywcity2"/>
        <w:numPr>
          <w:ilvl w:val="0"/>
          <w:numId w:val="48"/>
        </w:numPr>
        <w:ind w:left="426" w:hanging="426"/>
        <w:rPr>
          <w:rFonts w:ascii="Cambria" w:hAnsi="Cambria" w:cs="Calibri Light" w:asciiTheme="majorHAnsi" w:hAnsiTheme="majorHAnsi"/>
          <w:b/>
          <w:b/>
          <w:sz w:val="22"/>
          <w:szCs w:val="22"/>
        </w:rPr>
      </w:pPr>
      <w:r>
        <w:rPr>
          <w:rFonts w:cs="Calibri Light" w:ascii="Cambria" w:hAnsi="Cambria" w:asciiTheme="majorHAnsi" w:hAnsiTheme="majorHAnsi"/>
          <w:sz w:val="22"/>
          <w:szCs w:val="22"/>
        </w:rPr>
        <w:t>W przypadku braku potwierdzenia otrzymania dokumentu, o którym mowa w ust. 2 przez wykonawcę, uznaje się, iż pismo wysłane na adres poczty elektronicznej wykonawcy w zostało mu doręczone w sposób umożliwiający zapoznanie się z jego treścią.</w:t>
      </w:r>
    </w:p>
    <w:p>
      <w:pPr>
        <w:pStyle w:val="WWTekstpodstawowywcity2"/>
        <w:numPr>
          <w:ilvl w:val="0"/>
          <w:numId w:val="49"/>
        </w:numPr>
        <w:ind w:left="426" w:hanging="426"/>
        <w:rPr>
          <w:rFonts w:ascii="Cambria" w:hAnsi="Cambria" w:cs="Calibri Light" w:asciiTheme="majorHAnsi" w:hAnsiTheme="majorHAnsi"/>
          <w:b/>
          <w:b/>
          <w:sz w:val="22"/>
          <w:szCs w:val="22"/>
        </w:rPr>
      </w:pPr>
      <w:r>
        <w:rPr>
          <w:rFonts w:cs="Calibri Light" w:ascii="Cambria" w:hAnsi="Cambria" w:asciiTheme="majorHAnsi" w:hAnsiTheme="majorHAnsi"/>
          <w:sz w:val="22"/>
          <w:szCs w:val="22"/>
        </w:rPr>
        <w:t>Osobami upoważnionymi do kontaktów z wykonawcami, w godzinach pracy urzędu od poniedziałku do piątku w godz. 7.30 – 15.30 są: w zakresie przedmiotu zamówienia:</w:t>
      </w:r>
      <w:r>
        <w:rPr>
          <w:rFonts w:eastAsia="Times New Roman" w:cs="Calibri Light" w:ascii="Cambria" w:hAnsi="Cambria" w:asciiTheme="majorHAnsi" w:hAnsiTheme="majorHAnsi"/>
          <w:color w:val="auto"/>
          <w:kern w:val="0"/>
          <w:sz w:val="22"/>
          <w:szCs w:val="22"/>
          <w:lang w:val="pl-PL" w:eastAsia="ar-SA" w:bidi="ar-SA"/>
        </w:rPr>
        <w:t xml:space="preserve">Piotr Zwardoń, Krzysztof Węgrzynowski </w:t>
      </w:r>
      <w:r>
        <w:rPr>
          <w:rFonts w:cs="Calibri Light" w:ascii="Cambria" w:hAnsi="Cambria" w:asciiTheme="majorHAnsi" w:hAnsiTheme="majorHAnsi"/>
          <w:sz w:val="22"/>
          <w:szCs w:val="22"/>
        </w:rPr>
        <w:t xml:space="preserve">tel. (44) 724-23-11 wew. </w:t>
      </w:r>
      <w:r>
        <w:rPr>
          <w:rFonts w:eastAsia="Times New Roman" w:cs="Calibri Light" w:ascii="Cambria" w:hAnsi="Cambria" w:asciiTheme="majorHAnsi" w:hAnsiTheme="majorHAnsi"/>
          <w:color w:val="auto"/>
          <w:kern w:val="0"/>
          <w:sz w:val="22"/>
          <w:szCs w:val="22"/>
          <w:lang w:val="pl-PL" w:eastAsia="ar-SA" w:bidi="ar-SA"/>
        </w:rPr>
        <w:t>656</w:t>
      </w:r>
      <w:r>
        <w:rPr>
          <w:rFonts w:cs="Calibri Light" w:ascii="Cambria" w:hAnsi="Cambria" w:asciiTheme="majorHAnsi" w:hAnsiTheme="majorHAnsi"/>
          <w:sz w:val="22"/>
          <w:szCs w:val="22"/>
        </w:rPr>
        <w:t xml:space="preserve">; w sprawach dotyczących procedury zamówień publicznych: Andrzej Pawlik, </w:t>
      </w:r>
      <w:r>
        <w:rPr>
          <w:rFonts w:eastAsia="Times New Roman" w:cs="Calibri Light" w:ascii="Cambria" w:hAnsi="Cambria" w:asciiTheme="majorHAnsi" w:hAnsiTheme="majorHAnsi"/>
          <w:sz w:val="22"/>
          <w:szCs w:val="22"/>
          <w:lang w:eastAsia="ar-SA"/>
        </w:rPr>
        <w:t>Agata Ciecińska-Borowska</w:t>
      </w:r>
      <w:r>
        <w:rPr>
          <w:rFonts w:cs="Calibri Light" w:ascii="Cambria" w:hAnsi="Cambria" w:asciiTheme="majorHAnsi" w:hAnsiTheme="majorHAnsi"/>
          <w:sz w:val="22"/>
          <w:szCs w:val="22"/>
        </w:rPr>
        <w:t xml:space="preserve"> (44) 724-23-11 wew. 567, 581 adres: e-mail: </w:t>
      </w:r>
      <w:hyperlink r:id="rId3">
        <w:r>
          <w:rPr>
            <w:rStyle w:val="Czeinternetowe"/>
            <w:rFonts w:cs="Calibri Light" w:ascii="Cambria" w:hAnsi="Cambria" w:asciiTheme="majorHAnsi" w:hAnsiTheme="majorHAnsi"/>
            <w:color w:val="365F91"/>
            <w:sz w:val="22"/>
            <w:szCs w:val="22"/>
            <w:lang w:val="en-US"/>
          </w:rPr>
          <w:t>zam.pub@tomaszow-maz.pl</w:t>
        </w:r>
      </w:hyperlink>
      <w:r>
        <w:rPr>
          <w:rFonts w:cs="Calibri Light" w:ascii="Cambria" w:hAnsi="Cambria" w:asciiTheme="majorHAnsi" w:hAnsiTheme="majorHAnsi"/>
          <w:sz w:val="22"/>
          <w:szCs w:val="22"/>
          <w:lang w:val="en-US"/>
        </w:rPr>
        <w:t>.</w:t>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11 - Sposób rozliczeń</w:t>
      </w:r>
    </w:p>
    <w:p>
      <w:pPr>
        <w:pStyle w:val="Normalny1"/>
        <w:ind w:left="360" w:hanging="360"/>
        <w:jc w:val="center"/>
        <w:rPr>
          <w:rFonts w:ascii="Cambria" w:hAnsi="Cambria" w:eastAsia="Bookman Old Style" w:cs="Calibri Light" w:asciiTheme="majorHAnsi" w:hAnsiTheme="majorHAnsi"/>
          <w:sz w:val="22"/>
          <w:szCs w:val="22"/>
        </w:rPr>
      </w:pPr>
      <w:r>
        <w:rPr>
          <w:rFonts w:eastAsia="Bookman Old Style" w:cs="Calibri Light" w:ascii="Cambria" w:hAnsi="Cambria"/>
          <w:sz w:val="22"/>
          <w:szCs w:val="22"/>
        </w:rPr>
      </w:r>
    </w:p>
    <w:p>
      <w:pPr>
        <w:pStyle w:val="Normal"/>
        <w:numPr>
          <w:ilvl w:val="0"/>
          <w:numId w:val="18"/>
        </w:numPr>
        <w:tabs>
          <w:tab w:val="clear" w:pos="708"/>
          <w:tab w:val="left" w:pos="426" w:leader="none"/>
        </w:tabs>
        <w:suppressAutoHyphens w:val="true"/>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 dostarczenie przedmiotu umowy zamawiający zapłaci wykonawcy</w:t>
      </w:r>
      <w:r>
        <w:rPr>
          <w:rFonts w:eastAsia="Bookman Old Style" w:cs="Calibri Light" w:ascii="Cambria" w:hAnsi="Cambria" w:asciiTheme="majorHAnsi" w:hAnsiTheme="majorHAnsi"/>
          <w:sz w:val="22"/>
          <w:szCs w:val="22"/>
        </w:rPr>
        <w:t xml:space="preserve"> wynagrodzenie ryczałtowe.</w:t>
      </w:r>
    </w:p>
    <w:p>
      <w:pPr>
        <w:pStyle w:val="Normal"/>
        <w:numPr>
          <w:ilvl w:val="0"/>
          <w:numId w:val="18"/>
        </w:numPr>
        <w:tabs>
          <w:tab w:val="clear" w:pos="708"/>
          <w:tab w:val="left" w:pos="426" w:leader="none"/>
        </w:tabs>
        <w:suppressAutoHyphens w:val="true"/>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Cena oferty obejmuje wszystkie koszty związane z prawidłową realizacją przedmiotu zamówienia </w:t>
      </w:r>
      <w:r>
        <w:rPr>
          <w:rFonts w:eastAsia="Bookman Old Style" w:cs="Calibri Light" w:ascii="Cambria" w:hAnsi="Cambria" w:asciiTheme="majorHAnsi" w:hAnsiTheme="majorHAnsi"/>
          <w:sz w:val="22"/>
          <w:szCs w:val="22"/>
        </w:rPr>
        <w:t>oraz ryzyko wykonawcy z tytułu prawidłowego ich oszacowania i innych czynników mających lub mogących mieć wpływ na koszty.</w:t>
      </w:r>
    </w:p>
    <w:p>
      <w:pPr>
        <w:pStyle w:val="Normal"/>
        <w:numPr>
          <w:ilvl w:val="0"/>
          <w:numId w:val="18"/>
        </w:numPr>
        <w:tabs>
          <w:tab w:val="clear" w:pos="708"/>
          <w:tab w:val="left" w:pos="426" w:leader="none"/>
        </w:tabs>
        <w:suppressAutoHyphens w:val="true"/>
        <w:ind w:left="426" w:hanging="426"/>
        <w:jc w:val="both"/>
        <w:rPr>
          <w:rFonts w:ascii="Cambria" w:hAnsi="Cambria" w:cs="Calibri Light" w:asciiTheme="majorHAnsi" w:hAnsiTheme="majorHAnsi"/>
          <w:sz w:val="22"/>
          <w:szCs w:val="22"/>
        </w:rPr>
      </w:pPr>
      <w:r>
        <w:rPr>
          <w:rFonts w:eastAsia="Bookman Old Style" w:cs="Calibri Light" w:ascii="Cambria" w:hAnsi="Cambria" w:asciiTheme="majorHAnsi" w:hAnsiTheme="majorHAnsi"/>
          <w:sz w:val="22"/>
          <w:szCs w:val="22"/>
        </w:rPr>
        <w:t>Płatność za realizację przedmiotu zamówienia będzie jednoetapowa po dostarczeniu zamówienia przez Wykonawcę na podstawie prawidłowo wystawionej faktury VAT z zachowaniem 30 dniowego terminu płatności i nastąpi w terminie nie później niż do dnia 31 grudnia 2022 r. na podstawie prawidłowo wystawionej przez wykonawcę kompletnej faktury, przy czym poprawnie wystawiona faktura zostanie doręczona zamawiającemu w terminie do dnia 20.12.2022 r.</w:t>
      </w:r>
    </w:p>
    <w:p>
      <w:pPr>
        <w:pStyle w:val="Normal"/>
        <w:numPr>
          <w:ilvl w:val="0"/>
          <w:numId w:val="18"/>
        </w:numPr>
        <w:tabs>
          <w:tab w:val="clear" w:pos="708"/>
          <w:tab w:val="left" w:pos="426" w:leader="none"/>
        </w:tabs>
        <w:suppressAutoHyphens w:val="true"/>
        <w:ind w:left="426" w:hanging="426"/>
        <w:jc w:val="both"/>
        <w:rPr>
          <w:rFonts w:ascii="Cambria" w:hAnsi="Cambria" w:cs="Calibri Light" w:asciiTheme="majorHAnsi" w:hAnsiTheme="majorHAnsi"/>
          <w:sz w:val="22"/>
          <w:szCs w:val="22"/>
        </w:rPr>
      </w:pPr>
      <w:r>
        <w:rPr>
          <w:rFonts w:eastAsia="Bookman Old Style" w:cs="Calibri Light" w:ascii="Cambria" w:hAnsi="Cambria" w:asciiTheme="majorHAnsi" w:hAnsiTheme="majorHAnsi"/>
          <w:sz w:val="22"/>
          <w:szCs w:val="22"/>
        </w:rPr>
        <w:t>Podstawę do wystawienia faktury stanowić będzie protokół odbioru przedmiotu umowy potwierdzający prawidłową i zgodną z wymaganiami zamawiającego realizację zamówienia.</w:t>
      </w:r>
    </w:p>
    <w:p>
      <w:pPr>
        <w:pStyle w:val="Normal"/>
        <w:numPr>
          <w:ilvl w:val="0"/>
          <w:numId w:val="18"/>
        </w:numPr>
        <w:tabs>
          <w:tab w:val="clear" w:pos="708"/>
          <w:tab w:val="left" w:pos="426" w:leader="none"/>
        </w:tabs>
        <w:suppressAutoHyphens w:val="true"/>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W przypadku stwierdzenia wad przedmiotu umowy, nieprawidłowości lub niezgodności z wymaganiami zamawiającego lub opisem przedmiotu zamówienia w protokole odbioru zostanie określony termin i sposób usunięcia wad. Protokół podpisują strony.</w:t>
      </w:r>
    </w:p>
    <w:p>
      <w:pPr>
        <w:pStyle w:val="Normal"/>
        <w:numPr>
          <w:ilvl w:val="0"/>
          <w:numId w:val="18"/>
        </w:numPr>
        <w:tabs>
          <w:tab w:val="clear" w:pos="708"/>
          <w:tab w:val="left" w:pos="426" w:leader="none"/>
        </w:tabs>
        <w:suppressAutoHyphens w:val="true"/>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Szczegółowe warunki dotyczące realizacji zamówienia, odbioru i zapłaty wynagrodzenia określa wzór umowy- </w:t>
      </w:r>
      <w:r>
        <w:rPr>
          <w:rFonts w:cs="Calibri Light" w:ascii="Cambria" w:hAnsi="Cambria" w:asciiTheme="majorHAnsi" w:hAnsiTheme="majorHAnsi"/>
          <w:i/>
          <w:sz w:val="22"/>
          <w:szCs w:val="22"/>
        </w:rPr>
        <w:t>załącznik nr 2 do zapytania.</w:t>
      </w:r>
    </w:p>
    <w:p>
      <w:pPr>
        <w:pStyle w:val="Normal"/>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12 - Sposób oceny ofert</w:t>
      </w:r>
    </w:p>
    <w:p>
      <w:pPr>
        <w:pStyle w:val="Normal"/>
        <w:ind w:left="360" w:hanging="0"/>
        <w:jc w:val="both"/>
        <w:rPr>
          <w:rFonts w:ascii="Cambria" w:hAnsi="Cambria" w:cs="Calibri Light" w:asciiTheme="majorHAnsi" w:hAnsiTheme="majorHAnsi"/>
          <w:b/>
          <w:b/>
          <w:sz w:val="22"/>
          <w:szCs w:val="22"/>
        </w:rPr>
      </w:pPr>
      <w:r>
        <w:rPr>
          <w:rFonts w:cs="Calibri Light" w:ascii="Cambria" w:hAnsi="Cambria"/>
          <w:b/>
          <w:sz w:val="22"/>
          <w:szCs w:val="22"/>
        </w:rPr>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Jeżeli nie można wybrać oferty najkorzystniejszej z uwagi na to, że dwie lub więcej ofert przedstawia taki sam bilans ceny i innych kryteriów oceny ofert, zamawiający spośród tych ofert wybiera ofertę z niższą ceną.</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Jeżeli w postępowaniu o udzielenie zamówienia, w którym jedynym kryterium oceny ofert jest cena, nie można dokonać wyboru oferty najkorzystniejszej ze względu na to, że zostały złożone oferty o takiej samej cenie, zamawiający wzywa wykonawców, którzy złożyli do złożenia w terminie określonym przez zamawiającego ofert dodatkowych.</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Wykonawcy, składając oferty dodatkowe, nie mogą zaoferować cen wyższych niż zaoferowane  w złożonych ofertach. </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b/>
          <w:color w:val="000000"/>
          <w:sz w:val="22"/>
          <w:szCs w:val="22"/>
        </w:rPr>
        <w:t>Zamawiający najpierw dokona oceny ofert, a następnie zbada, czy wykonawca, którego oferta została oceniona jako najkorzystniejsza (najwyżej oceniona), nie podlega wykluczeniu oraz spełnia warunki udziału w postępowaniu.</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b/>
          <w:color w:val="000000"/>
          <w:sz w:val="22"/>
          <w:szCs w:val="22"/>
        </w:rPr>
        <w:t>Jeżeli wykonawca, o którym mowa powyżej uchyla się od zawarcia umowy lub nie wnosi wymaganego zabezpieczenia należytego wykonania umowy, zamawiający może dokonać ponownego badania i oceny ofert spośród ofert pozostałych w postępowaniu wykonawców lub unieważnić postępowanie.</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color w:val="000000"/>
          <w:sz w:val="22"/>
          <w:szCs w:val="22"/>
        </w:rPr>
        <w:t>W toku oceny ofert,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color w:val="000000"/>
          <w:sz w:val="22"/>
          <w:szCs w:val="22"/>
        </w:rPr>
        <w:t>Niedopuszczalne jest prowadzenie między zamawiającym, a wykonawcą negocjacji dotyczących złożonej oferty z zastrzeżeniem ust. 8.</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color w:val="000000"/>
          <w:sz w:val="22"/>
          <w:szCs w:val="22"/>
        </w:rPr>
        <w:t>Przed  dokonaniem przez zamawiającego wyboru oferty, dopuszcza się możliwość negocjowania z wykonawcą, obniżenia  wynagrodzenia w celu uzyskania możliwie jak najniższej ceny.</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może poprawić w ofercie oczywiste omyłki pisarskie, oczywiste omyłki rachunkowe, z uwzględnieniem konsekwencji rachunkowych dokonanych poprawek.</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W przypadku, gdy cena oferty wydaje się zbyt niska i budzi wątpliwości, co do możliwości prawidłowego wykonania przedmiotu zamówienia, zamawiający może zwrócić się do wykonawcy z żądaniem podania szczegółów dotyczących zaproponowanej ceny.</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Dokonując analizy złożonych wyjaśnień zamawiający będzie miał w szczególności na uwadze możliwość uzyskania przez wykonawcę osiągnięcia zysku, rozwiązania techniczne                                    i funkcjonalne, metody realizacji, koszty materiałowe, koszty personelu.</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odrzuca ofertę wykonawcy, który nie złożył wyjaśnień lub jeżeli złożone wyjaśnienia wraz z dowodami nie wykazują możliwości wykonania zamówienia zgodnie z opisem przedmiotu zamówienia i wymaganiami określonymi w ogłoszeniu o zamówieniu lub dokumentach zamówienia.</w:t>
      </w:r>
    </w:p>
    <w:p>
      <w:pPr>
        <w:pStyle w:val="ListParagraph"/>
        <w:numPr>
          <w:ilvl w:val="0"/>
          <w:numId w:val="6"/>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b/>
          <w:bCs/>
          <w:sz w:val="22"/>
          <w:szCs w:val="22"/>
        </w:rPr>
        <w:t xml:space="preserve">Zamawiający odrzuca ofertę, jeżeli: </w:t>
      </w:r>
    </w:p>
    <w:p>
      <w:pPr>
        <w:pStyle w:val="Akapitzlist1"/>
        <w:numPr>
          <w:ilvl w:val="0"/>
          <w:numId w:val="7"/>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rPr>
        <w:t xml:space="preserve">jej treść nie odpowiada treści ogłoszenia o zamówieniu lub dokumentów ogłoszenia, </w:t>
      </w:r>
    </w:p>
    <w:p>
      <w:pPr>
        <w:pStyle w:val="Akapitzlist1"/>
        <w:numPr>
          <w:ilvl w:val="0"/>
          <w:numId w:val="7"/>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rPr>
        <w:t>została złożona przez wykonawcę wykluczonego z postępowania,</w:t>
      </w:r>
    </w:p>
    <w:p>
      <w:pPr>
        <w:pStyle w:val="Akapitzlist1"/>
        <w:numPr>
          <w:ilvl w:val="0"/>
          <w:numId w:val="7"/>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rPr>
        <w:t>jest nieważna na podstawie odrębnych przepisów,</w:t>
      </w:r>
    </w:p>
    <w:p>
      <w:pPr>
        <w:pStyle w:val="Akapitzlist1"/>
        <w:numPr>
          <w:ilvl w:val="0"/>
          <w:numId w:val="7"/>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lang w:eastAsia="pl-PL"/>
        </w:rPr>
        <w:t>wadium nie zostało wniesione lub zostało wniesione w sposób nieprawidłowy,</w:t>
      </w:r>
    </w:p>
    <w:p>
      <w:pPr>
        <w:pStyle w:val="Akapitzlist1"/>
        <w:numPr>
          <w:ilvl w:val="0"/>
          <w:numId w:val="7"/>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shd w:fill="FFFFFF" w:val="clear"/>
        </w:rPr>
        <w:t>zawiera inny sposób wykonania zamówienia, niż ten, który został opisany przez zamawiającego w ogłoszeniu o zamówieniu lub dokumentach zamówienia,</w:t>
      </w:r>
    </w:p>
    <w:p>
      <w:pPr>
        <w:pStyle w:val="Akapitzlist1"/>
        <w:numPr>
          <w:ilvl w:val="0"/>
          <w:numId w:val="7"/>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shd w:fill="FFFFFF" w:val="clear"/>
        </w:rPr>
        <w:t>została złożona po terminie składania ofert,</w:t>
      </w:r>
    </w:p>
    <w:p>
      <w:pPr>
        <w:pStyle w:val="Akapitzlist1"/>
        <w:numPr>
          <w:ilvl w:val="0"/>
          <w:numId w:val="7"/>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shd w:fill="FFFFFF" w:val="clear"/>
        </w:rPr>
        <w:t>została złożona przez wykonawcę nie zaproszonego do składania ofert.</w:t>
      </w:r>
    </w:p>
    <w:p>
      <w:pPr>
        <w:pStyle w:val="Normal"/>
        <w:numPr>
          <w:ilvl w:val="0"/>
          <w:numId w:val="6"/>
        </w:numPr>
        <w:ind w:left="284" w:hanging="284"/>
        <w:jc w:val="both"/>
        <w:rPr>
          <w:rFonts w:ascii="Cambria" w:hAnsi="Cambria" w:cs="Calibri Light" w:asciiTheme="majorHAnsi" w:hAnsiTheme="majorHAnsi"/>
          <w:b/>
          <w:b/>
          <w:bCs/>
          <w:sz w:val="22"/>
          <w:szCs w:val="22"/>
        </w:rPr>
      </w:pPr>
      <w:r>
        <w:rPr>
          <w:rFonts w:cs="Calibri Light" w:ascii="Cambria" w:hAnsi="Cambria" w:asciiTheme="majorHAnsi" w:hAnsiTheme="majorHAnsi"/>
          <w:b/>
          <w:bCs/>
          <w:sz w:val="22"/>
          <w:szCs w:val="22"/>
        </w:rPr>
        <w:t xml:space="preserve">Zamawiający wyklucza z postępowania o udzielenie zamówienia wykonawców, którzy: </w:t>
      </w:r>
    </w:p>
    <w:p>
      <w:pPr>
        <w:pStyle w:val="Akapitzlist1"/>
        <w:numPr>
          <w:ilvl w:val="0"/>
          <w:numId w:val="8"/>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rPr>
        <w:t>nie wykazali spełniania warunków udziału w postępowaniu,</w:t>
      </w:r>
    </w:p>
    <w:p>
      <w:pPr>
        <w:pStyle w:val="Akapitzlist1"/>
        <w:numPr>
          <w:ilvl w:val="0"/>
          <w:numId w:val="8"/>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rPr>
        <w:t xml:space="preserve">wyrządzili szkodę zamawiającemu lub wykonali wcześniejsze zamówienia nienależycie, </w:t>
      </w:r>
    </w:p>
    <w:p>
      <w:pPr>
        <w:pStyle w:val="Akapitzlist1"/>
        <w:numPr>
          <w:ilvl w:val="0"/>
          <w:numId w:val="8"/>
        </w:numPr>
        <w:spacing w:lineRule="auto" w:line="240" w:before="0" w:after="0"/>
        <w:jc w:val="both"/>
        <w:rPr>
          <w:rFonts w:ascii="Cambria" w:hAnsi="Cambria" w:cs="Calibri Light" w:asciiTheme="majorHAnsi" w:hAnsiTheme="majorHAnsi"/>
        </w:rPr>
      </w:pPr>
      <w:r>
        <w:rPr>
          <w:rFonts w:cs="Calibri Light" w:ascii="Cambria" w:hAnsi="Cambria" w:asciiTheme="majorHAnsi" w:hAnsiTheme="majorHAnsi"/>
        </w:rPr>
        <w:t>złożyli nieprawdziwe informacje mające wpływ na wynik prowadzonego postępowania.</w:t>
      </w:r>
    </w:p>
    <w:p>
      <w:pPr>
        <w:pStyle w:val="Normal"/>
        <w:numPr>
          <w:ilvl w:val="0"/>
          <w:numId w:val="6"/>
        </w:numPr>
        <w:tabs>
          <w:tab w:val="clear" w:pos="708"/>
          <w:tab w:val="left" w:pos="0" w:leader="none"/>
        </w:tabs>
        <w:ind w:left="284" w:hanging="284"/>
        <w:jc w:val="both"/>
        <w:rPr>
          <w:sz w:val="22"/>
          <w:szCs w:val="22"/>
        </w:rPr>
      </w:pPr>
      <w:r>
        <w:rPr>
          <w:sz w:val="22"/>
          <w:szCs w:val="22"/>
        </w:rPr>
        <w:t xml:space="preserve">Zamawiający zgodnie z art. 1 pkt 3 ustawy </w:t>
      </w:r>
      <w:r>
        <w:rPr>
          <w:bCs/>
          <w:sz w:val="22"/>
          <w:szCs w:val="22"/>
        </w:rPr>
        <w:t xml:space="preserve">o szczególnych rozwiązaniach w zakresie przeciwdziałania wspieraniu agresji na Ukrainę oraz służących ochronie bezpieczeństwa narodowego </w:t>
      </w:r>
      <w:r>
        <w:rPr>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pPr>
        <w:pStyle w:val="Normal"/>
        <w:numPr>
          <w:ilvl w:val="0"/>
          <w:numId w:val="6"/>
        </w:numPr>
        <w:tabs>
          <w:tab w:val="clear" w:pos="708"/>
          <w:tab w:val="left" w:pos="0" w:leader="none"/>
        </w:tabs>
        <w:ind w:left="284" w:hanging="284"/>
        <w:jc w:val="both"/>
        <w:rPr>
          <w:sz w:val="22"/>
          <w:szCs w:val="22"/>
        </w:rPr>
      </w:pPr>
      <w:r>
        <w:rPr>
          <w:sz w:val="22"/>
          <w:szCs w:val="22"/>
        </w:rPr>
        <w:t>Biorąc pod uwagę powyższe – zamawiający wykluczy wykonawcę:</w:t>
      </w:r>
    </w:p>
    <w:p>
      <w:pPr>
        <w:pStyle w:val="Normal"/>
        <w:widowControl w:val="false"/>
        <w:numPr>
          <w:ilvl w:val="0"/>
          <w:numId w:val="50"/>
        </w:numPr>
        <w:suppressAutoHyphens w:val="true"/>
        <w:jc w:val="both"/>
        <w:rPr>
          <w:kern w:val="2"/>
          <w:sz w:val="22"/>
          <w:szCs w:val="22"/>
        </w:rPr>
      </w:pPr>
      <w:r>
        <w:rPr>
          <w:kern w:val="2"/>
          <w:sz w:val="22"/>
          <w:szCs w:val="22"/>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pPr>
        <w:pStyle w:val="Normal"/>
        <w:widowControl w:val="false"/>
        <w:numPr>
          <w:ilvl w:val="0"/>
          <w:numId w:val="51"/>
        </w:numPr>
        <w:suppressAutoHyphens w:val="true"/>
        <w:jc w:val="both"/>
        <w:rPr>
          <w:kern w:val="2"/>
          <w:sz w:val="22"/>
          <w:szCs w:val="22"/>
        </w:rPr>
      </w:pPr>
      <w:r>
        <w:rPr>
          <w:kern w:val="2"/>
          <w:sz w:val="22"/>
          <w:szCs w:val="22"/>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pPr>
        <w:pStyle w:val="Normal"/>
        <w:widowControl w:val="false"/>
        <w:numPr>
          <w:ilvl w:val="0"/>
          <w:numId w:val="52"/>
        </w:numPr>
        <w:suppressAutoHyphens w:val="true"/>
        <w:jc w:val="both"/>
        <w:rPr>
          <w:kern w:val="2"/>
          <w:sz w:val="22"/>
          <w:szCs w:val="22"/>
        </w:rPr>
      </w:pPr>
      <w:r>
        <w:rPr>
          <w:kern w:val="2"/>
          <w:sz w:val="22"/>
          <w:szCs w:val="22"/>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pPr>
        <w:pStyle w:val="Normal"/>
        <w:widowControl w:val="false"/>
        <w:numPr>
          <w:ilvl w:val="0"/>
          <w:numId w:val="6"/>
        </w:numPr>
        <w:suppressAutoHyphens w:val="true"/>
        <w:ind w:left="284" w:hanging="284"/>
        <w:jc w:val="both"/>
        <w:rPr>
          <w:kern w:val="2"/>
          <w:sz w:val="22"/>
          <w:szCs w:val="22"/>
        </w:rPr>
      </w:pPr>
      <w:r>
        <w:rPr>
          <w:kern w:val="2"/>
          <w:sz w:val="22"/>
          <w:szCs w:val="22"/>
        </w:rPr>
        <w:t xml:space="preserve">Wykluczenie następuje na okres trwania okoliczności określonych w ust. 16. </w:t>
      </w:r>
    </w:p>
    <w:p>
      <w:pPr>
        <w:pStyle w:val="Normal"/>
        <w:widowControl w:val="false"/>
        <w:numPr>
          <w:ilvl w:val="0"/>
          <w:numId w:val="6"/>
        </w:numPr>
        <w:suppressAutoHyphens w:val="true"/>
        <w:ind w:left="284" w:hanging="284"/>
        <w:jc w:val="both"/>
        <w:rPr>
          <w:kern w:val="2"/>
          <w:sz w:val="22"/>
          <w:szCs w:val="22"/>
        </w:rPr>
      </w:pPr>
      <w:r>
        <w:rPr>
          <w:kern w:val="2"/>
          <w:sz w:val="22"/>
          <w:szCs w:val="22"/>
        </w:rPr>
        <w:t>W przypadku wykonawcy wykluczonego na podstawie ust. 16, zamawiający odrzuca ofertę takiego Wykonawcy.</w:t>
      </w:r>
    </w:p>
    <w:p>
      <w:pPr>
        <w:pStyle w:val="Normal"/>
        <w:widowControl w:val="false"/>
        <w:numPr>
          <w:ilvl w:val="0"/>
          <w:numId w:val="6"/>
        </w:numPr>
        <w:suppressAutoHyphens w:val="true"/>
        <w:ind w:left="284" w:hanging="284"/>
        <w:jc w:val="both"/>
        <w:rPr>
          <w:kern w:val="2"/>
          <w:sz w:val="22"/>
          <w:szCs w:val="22"/>
        </w:rPr>
      </w:pPr>
      <w:r>
        <w:rPr>
          <w:kern w:val="2"/>
          <w:sz w:val="22"/>
          <w:szCs w:val="22"/>
        </w:rPr>
        <w:t xml:space="preserve">Osoba lub podmiot podlegające wykluczeniu na podstawie ust. 16, które w okresie tego wykluczenia ubiegają się o udzielenie zamówienia publicznego lub biorą udział w postępowaniu o udzielenie zamówienia publicznego, podlegają karze pieniężnej. </w:t>
      </w:r>
    </w:p>
    <w:p>
      <w:pPr>
        <w:pStyle w:val="Normal"/>
        <w:widowControl w:val="false"/>
        <w:numPr>
          <w:ilvl w:val="0"/>
          <w:numId w:val="6"/>
        </w:numPr>
        <w:suppressAutoHyphens w:val="true"/>
        <w:ind w:left="284" w:hanging="284"/>
        <w:jc w:val="both"/>
        <w:rPr>
          <w:kern w:val="2"/>
          <w:sz w:val="22"/>
          <w:szCs w:val="22"/>
        </w:rPr>
      </w:pPr>
      <w:r>
        <w:rPr>
          <w:kern w:val="2"/>
          <w:sz w:val="22"/>
          <w:szCs w:val="22"/>
        </w:rPr>
        <w:t>Karę pieniężną, o której mowa w ust. 16, nakłada Prezes Urzędu Zamówień Publicznych, w drodze decyzji, w wysokości do 20 000 000 zł.</w:t>
      </w:r>
    </w:p>
    <w:p>
      <w:pPr>
        <w:pStyle w:val="Normal"/>
        <w:numPr>
          <w:ilvl w:val="0"/>
          <w:numId w:val="6"/>
        </w:numPr>
        <w:tabs>
          <w:tab w:val="clear" w:pos="708"/>
          <w:tab w:val="left" w:pos="0" w:leader="none"/>
        </w:tabs>
        <w:ind w:left="284" w:hanging="284"/>
        <w:jc w:val="both"/>
        <w:rPr>
          <w:sz w:val="22"/>
          <w:szCs w:val="22"/>
        </w:rPr>
      </w:pPr>
      <w:r>
        <w:rPr>
          <w:sz w:val="22"/>
          <w:szCs w:val="22"/>
        </w:rPr>
        <w:t>Ofertę wykonawcy wykluczonego odrzuca się.</w:t>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13 - Opis kryteriów, jakimi będzie się kierował zamawiający przy wyborze oferty najkorzystniejszej</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tabs>
          <w:tab w:val="clear" w:pos="708"/>
          <w:tab w:val="left" w:pos="360" w:leader="none"/>
        </w:tabs>
        <w:jc w:val="both"/>
        <w:rPr>
          <w:rFonts w:ascii="Cambria" w:hAnsi="Cambria" w:cs="Calibri Light" w:asciiTheme="majorHAnsi" w:hAnsiTheme="majorHAnsi"/>
          <w:bCs/>
          <w:sz w:val="22"/>
          <w:szCs w:val="22"/>
        </w:rPr>
      </w:pPr>
      <w:r>
        <w:rPr>
          <w:rFonts w:cs="Calibri Light" w:ascii="Cambria" w:hAnsi="Cambria" w:asciiTheme="majorHAnsi" w:hAnsiTheme="majorHAnsi"/>
          <w:bCs/>
          <w:sz w:val="22"/>
          <w:szCs w:val="22"/>
        </w:rPr>
        <w:t>1.</w:t>
        <w:tab/>
        <w:t>Kryteriami oceny ofert są:</w:t>
      </w:r>
    </w:p>
    <w:p>
      <w:pPr>
        <w:pStyle w:val="Normal"/>
        <w:jc w:val="both"/>
        <w:rPr>
          <w:rFonts w:ascii="Cambria" w:hAnsi="Cambria" w:cs="Calibri Light" w:asciiTheme="majorHAnsi" w:hAnsiTheme="majorHAnsi"/>
          <w:bCs/>
          <w:sz w:val="22"/>
          <w:szCs w:val="22"/>
        </w:rPr>
      </w:pPr>
      <w:r>
        <w:rPr>
          <w:rFonts w:cs="Calibri Light" w:ascii="Cambria" w:hAnsi="Cambria" w:asciiTheme="majorHAnsi" w:hAnsiTheme="majorHAnsi"/>
          <w:bCs/>
          <w:sz w:val="22"/>
          <w:szCs w:val="22"/>
        </w:rPr>
        <w:t xml:space="preserve">            </w:t>
      </w:r>
      <w:r>
        <w:rPr>
          <w:rFonts w:cs="Calibri Light" w:ascii="Cambria" w:hAnsi="Cambria" w:asciiTheme="majorHAnsi" w:hAnsiTheme="majorHAnsi"/>
          <w:bCs/>
          <w:sz w:val="22"/>
          <w:szCs w:val="22"/>
        </w:rPr>
        <w:t>-  CENA OFERTY – znaczenie 100%</w:t>
      </w:r>
    </w:p>
    <w:p>
      <w:pPr>
        <w:pStyle w:val="Normal"/>
        <w:jc w:val="both"/>
        <w:rPr>
          <w:rFonts w:ascii="Cambria" w:hAnsi="Cambria" w:cs="Calibri Light" w:asciiTheme="majorHAnsi" w:hAnsiTheme="majorHAnsi"/>
          <w:bCs/>
          <w:sz w:val="22"/>
          <w:szCs w:val="22"/>
        </w:rPr>
      </w:pPr>
      <w:r>
        <w:rPr>
          <w:rFonts w:cs="Calibri Light" w:ascii="Cambria" w:hAnsi="Cambria"/>
          <w:bCs/>
          <w:sz w:val="22"/>
          <w:szCs w:val="22"/>
        </w:rPr>
      </w:r>
    </w:p>
    <w:p>
      <w:pPr>
        <w:pStyle w:val="ListParagraph"/>
        <w:numPr>
          <w:ilvl w:val="0"/>
          <w:numId w:val="12"/>
        </w:numPr>
        <w:tabs>
          <w:tab w:val="clear" w:pos="708"/>
          <w:tab w:val="left" w:pos="360" w:leader="none"/>
        </w:tabs>
        <w:ind w:left="720" w:hanging="720"/>
        <w:jc w:val="both"/>
        <w:rPr>
          <w:rFonts w:ascii="Cambria" w:hAnsi="Cambria" w:cs="Calibri Light" w:asciiTheme="majorHAnsi" w:hAnsiTheme="majorHAnsi"/>
          <w:bCs/>
          <w:sz w:val="22"/>
          <w:szCs w:val="22"/>
        </w:rPr>
      </w:pPr>
      <w:r>
        <w:rPr>
          <w:rFonts w:cs="Calibri Light" w:ascii="Cambria" w:hAnsi="Cambria" w:asciiTheme="majorHAnsi" w:hAnsiTheme="majorHAnsi"/>
          <w:bCs/>
          <w:sz w:val="22"/>
          <w:szCs w:val="22"/>
        </w:rPr>
        <w:t>Punktacja ofert dokonana będzie według następujących zasad:</w:t>
      </w:r>
    </w:p>
    <w:p>
      <w:pPr>
        <w:pStyle w:val="ListParagraph"/>
        <w:tabs>
          <w:tab w:val="clear" w:pos="708"/>
          <w:tab w:val="left" w:pos="360" w:leader="none"/>
        </w:tabs>
        <w:ind w:left="720" w:hanging="0"/>
        <w:jc w:val="both"/>
        <w:rPr>
          <w:rFonts w:ascii="Cambria" w:hAnsi="Cambria" w:cs="Calibri Light" w:asciiTheme="majorHAnsi" w:hAnsiTheme="majorHAnsi"/>
          <w:bCs/>
          <w:sz w:val="22"/>
          <w:szCs w:val="22"/>
        </w:rPr>
      </w:pPr>
      <w:r>
        <w:rPr>
          <w:rFonts w:cs="Calibri Light" w:ascii="Cambria" w:hAnsi="Cambria"/>
          <w:bCs/>
          <w:sz w:val="22"/>
          <w:szCs w:val="22"/>
        </w:rPr>
      </w:r>
    </w:p>
    <w:tbl>
      <w:tblPr>
        <w:tblW w:w="9250" w:type="dxa"/>
        <w:jc w:val="left"/>
        <w:tblInd w:w="38" w:type="dxa"/>
        <w:tblLayout w:type="fixed"/>
        <w:tblCellMar>
          <w:top w:w="0" w:type="dxa"/>
          <w:left w:w="108" w:type="dxa"/>
          <w:bottom w:w="0" w:type="dxa"/>
          <w:right w:w="108" w:type="dxa"/>
        </w:tblCellMar>
        <w:tblLook w:firstRow="1" w:noVBand="0" w:lastRow="1" w:firstColumn="1" w:lastColumn="1" w:noHBand="0" w:val="01e0"/>
      </w:tblPr>
      <w:tblGrid>
        <w:gridCol w:w="2612"/>
        <w:gridCol w:w="1613"/>
        <w:gridCol w:w="5025"/>
      </w:tblGrid>
      <w:tr>
        <w:trPr/>
        <w:tc>
          <w:tcPr>
            <w:tcW w:w="2612"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Cambria" w:hAnsi="Cambria" w:eastAsia="Calibri" w:cs="Calibri Light" w:asciiTheme="majorHAnsi" w:hAnsiTheme="majorHAnsi"/>
                <w:b/>
                <w:b/>
                <w:bCs/>
                <w:sz w:val="18"/>
                <w:szCs w:val="18"/>
              </w:rPr>
            </w:pPr>
            <w:r>
              <w:rPr>
                <w:rFonts w:eastAsia="Calibri" w:cs="Calibri Light" w:ascii="Cambria" w:hAnsi="Cambria" w:asciiTheme="majorHAnsi" w:hAnsiTheme="majorHAnsi"/>
                <w:b/>
                <w:bCs/>
                <w:sz w:val="18"/>
                <w:szCs w:val="18"/>
              </w:rPr>
              <w:t>Nazwa kryterium</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Cambria" w:hAnsi="Cambria" w:eastAsia="Calibri" w:cs="Calibri Light" w:asciiTheme="majorHAnsi" w:hAnsiTheme="majorHAnsi"/>
                <w:b/>
                <w:b/>
                <w:bCs/>
                <w:sz w:val="18"/>
                <w:szCs w:val="18"/>
              </w:rPr>
            </w:pPr>
            <w:r>
              <w:rPr>
                <w:rFonts w:eastAsia="Calibri" w:cs="Calibri Light" w:ascii="Cambria" w:hAnsi="Cambria" w:asciiTheme="majorHAnsi" w:hAnsiTheme="majorHAnsi"/>
                <w:b/>
                <w:bCs/>
                <w:sz w:val="18"/>
                <w:szCs w:val="18"/>
              </w:rPr>
              <w:t>Waga [%]</w:t>
            </w:r>
          </w:p>
          <w:p>
            <w:pPr>
              <w:pStyle w:val="Normal"/>
              <w:widowControl w:val="false"/>
              <w:jc w:val="both"/>
              <w:rPr>
                <w:rFonts w:ascii="Cambria" w:hAnsi="Cambria" w:eastAsia="Calibri" w:cs="Calibri Light" w:asciiTheme="majorHAnsi" w:hAnsiTheme="majorHAnsi"/>
                <w:b/>
                <w:b/>
                <w:bCs/>
                <w:sz w:val="18"/>
                <w:szCs w:val="18"/>
              </w:rPr>
            </w:pPr>
            <w:r>
              <w:rPr>
                <w:rFonts w:eastAsia="Calibri" w:cs="Calibri Light" w:ascii="Cambria" w:hAnsi="Cambria" w:asciiTheme="majorHAnsi" w:hAnsiTheme="majorHAnsi"/>
                <w:b/>
                <w:bCs/>
                <w:sz w:val="18"/>
                <w:szCs w:val="18"/>
              </w:rPr>
              <w:t>Znaczenie pkt</w:t>
            </w:r>
          </w:p>
        </w:tc>
        <w:tc>
          <w:tcPr>
            <w:tcW w:w="502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Cambria" w:hAnsi="Cambria" w:eastAsia="Calibri" w:cs="Calibri Light" w:asciiTheme="majorHAnsi" w:hAnsiTheme="majorHAnsi"/>
                <w:b/>
                <w:b/>
                <w:bCs/>
                <w:sz w:val="18"/>
                <w:szCs w:val="18"/>
              </w:rPr>
            </w:pPr>
            <w:r>
              <w:rPr>
                <w:rFonts w:eastAsia="Calibri" w:cs="Calibri Light" w:ascii="Cambria" w:hAnsi="Cambria" w:asciiTheme="majorHAnsi" w:hAnsiTheme="majorHAnsi"/>
                <w:b/>
                <w:bCs/>
                <w:sz w:val="18"/>
                <w:szCs w:val="18"/>
              </w:rPr>
              <w:t>Sposób oceny spełnienia kryterium</w:t>
            </w:r>
          </w:p>
        </w:tc>
      </w:tr>
      <w:tr>
        <w:trPr/>
        <w:tc>
          <w:tcPr>
            <w:tcW w:w="2612"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asciiTheme="majorHAnsi" w:hAnsiTheme="majorHAnsi"/>
                <w:bCs/>
                <w:sz w:val="18"/>
                <w:szCs w:val="18"/>
              </w:rPr>
              <w:t>C – Cena oferty</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asciiTheme="majorHAnsi" w:hAnsiTheme="majorHAnsi"/>
                <w:bCs/>
                <w:sz w:val="18"/>
                <w:szCs w:val="18"/>
              </w:rPr>
              <w:t>C – 100%</w:t>
            </w:r>
          </w:p>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asciiTheme="majorHAnsi" w:hAnsiTheme="majorHAnsi"/>
                <w:bCs/>
                <w:sz w:val="18"/>
                <w:szCs w:val="18"/>
              </w:rPr>
              <w:t>1% = 1 pkt</w:t>
            </w:r>
          </w:p>
        </w:tc>
        <w:tc>
          <w:tcPr>
            <w:tcW w:w="502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bCs/>
                <w:sz w:val="18"/>
                <w:szCs w:val="18"/>
              </w:rPr>
            </w:r>
          </w:p>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asciiTheme="majorHAnsi" w:hAnsiTheme="majorHAnsi"/>
                <w:bCs/>
                <w:sz w:val="18"/>
                <w:szCs w:val="18"/>
              </w:rPr>
              <w:t xml:space="preserve">                          </w:t>
            </w:r>
            <w:r>
              <w:rPr>
                <w:rFonts w:eastAsia="Calibri" w:cs="Calibri Light" w:ascii="Cambria" w:hAnsi="Cambria" w:asciiTheme="majorHAnsi" w:hAnsiTheme="majorHAnsi"/>
                <w:bCs/>
                <w:sz w:val="18"/>
                <w:szCs w:val="18"/>
              </w:rPr>
              <w:t>Cena najniższa z badanych</w:t>
            </w:r>
          </w:p>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asciiTheme="majorHAnsi" w:hAnsiTheme="majorHAnsi"/>
                <w:bCs/>
                <w:sz w:val="18"/>
                <w:szCs w:val="18"/>
              </w:rPr>
              <w:t>Ilość punktów = -------------------------------- x 100</w:t>
            </w:r>
          </w:p>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asciiTheme="majorHAnsi" w:hAnsiTheme="majorHAnsi"/>
                <w:bCs/>
                <w:sz w:val="18"/>
                <w:szCs w:val="18"/>
              </w:rPr>
              <w:t xml:space="preserve">                          </w:t>
            </w:r>
            <w:r>
              <w:rPr>
                <w:rFonts w:eastAsia="Calibri" w:cs="Calibri Light" w:ascii="Cambria" w:hAnsi="Cambria" w:asciiTheme="majorHAnsi" w:hAnsiTheme="majorHAnsi"/>
                <w:bCs/>
                <w:sz w:val="18"/>
                <w:szCs w:val="18"/>
              </w:rPr>
              <w:t>Cena badanej oferty brutto</w:t>
            </w:r>
          </w:p>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bCs/>
                <w:sz w:val="18"/>
                <w:szCs w:val="18"/>
              </w:rPr>
            </w:r>
          </w:p>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asciiTheme="majorHAnsi" w:hAnsiTheme="majorHAnsi"/>
                <w:bCs/>
                <w:sz w:val="18"/>
                <w:szCs w:val="18"/>
              </w:rPr>
              <w:t>C – ilość punktów</w:t>
            </w:r>
          </w:p>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asciiTheme="majorHAnsi" w:hAnsiTheme="majorHAnsi"/>
                <w:bCs/>
                <w:sz w:val="18"/>
                <w:szCs w:val="18"/>
              </w:rPr>
              <w:t>100 – znaczenie kryterium</w:t>
            </w:r>
          </w:p>
          <w:p>
            <w:pPr>
              <w:pStyle w:val="Normal"/>
              <w:widowControl w:val="false"/>
              <w:jc w:val="both"/>
              <w:rPr>
                <w:rFonts w:ascii="Cambria" w:hAnsi="Cambria" w:eastAsia="Calibri" w:cs="Calibri Light" w:asciiTheme="majorHAnsi" w:hAnsiTheme="majorHAnsi"/>
                <w:bCs/>
                <w:sz w:val="18"/>
                <w:szCs w:val="18"/>
              </w:rPr>
            </w:pPr>
            <w:r>
              <w:rPr>
                <w:rFonts w:eastAsia="Calibri" w:cs="Calibri Light" w:ascii="Cambria" w:hAnsi="Cambria" w:asciiTheme="majorHAnsi" w:hAnsiTheme="majorHAnsi"/>
                <w:bCs/>
                <w:sz w:val="18"/>
                <w:szCs w:val="18"/>
              </w:rPr>
              <w:t>Maksymalna liczba punktów przyznana w ramach kryterium nie przekroczy 100 punktów.</w:t>
            </w:r>
          </w:p>
        </w:tc>
      </w:tr>
    </w:tbl>
    <w:p>
      <w:pPr>
        <w:pStyle w:val="Normal"/>
        <w:jc w:val="both"/>
        <w:rPr>
          <w:rFonts w:ascii="Cambria" w:hAnsi="Cambria" w:cs="Calibri Light" w:asciiTheme="majorHAnsi" w:hAnsiTheme="majorHAnsi"/>
          <w:bCs/>
          <w:sz w:val="22"/>
          <w:szCs w:val="22"/>
        </w:rPr>
      </w:pPr>
      <w:r>
        <w:rPr>
          <w:rFonts w:cs="Calibri Light" w:ascii="Cambria" w:hAnsi="Cambria"/>
          <w:bCs/>
          <w:sz w:val="22"/>
          <w:szCs w:val="22"/>
        </w:rPr>
      </w:r>
    </w:p>
    <w:p>
      <w:pPr>
        <w:pStyle w:val="Normal"/>
        <w:tabs>
          <w:tab w:val="clear" w:pos="708"/>
          <w:tab w:val="left" w:pos="360" w:leader="none"/>
        </w:tabs>
        <w:jc w:val="both"/>
        <w:rPr>
          <w:rFonts w:ascii="Cambria" w:hAnsi="Cambria" w:cs="Calibri Light" w:asciiTheme="majorHAnsi" w:hAnsiTheme="majorHAnsi"/>
          <w:bCs/>
          <w:sz w:val="22"/>
          <w:szCs w:val="22"/>
        </w:rPr>
      </w:pPr>
      <w:r>
        <w:rPr>
          <w:rFonts w:cs="Calibri Light" w:ascii="Cambria" w:hAnsi="Cambria" w:asciiTheme="majorHAnsi" w:hAnsiTheme="majorHAnsi"/>
          <w:bCs/>
          <w:sz w:val="22"/>
          <w:szCs w:val="22"/>
        </w:rPr>
        <w:t>3.</w:t>
        <w:tab/>
        <w:t>Punkty będą przydzielone z dokładnością do dwóch miejsc po przecinku.</w:t>
      </w:r>
    </w:p>
    <w:p>
      <w:pPr>
        <w:pStyle w:val="Normal"/>
        <w:tabs>
          <w:tab w:val="clear" w:pos="708"/>
          <w:tab w:val="left" w:pos="360" w:leader="none"/>
        </w:tabs>
        <w:jc w:val="both"/>
        <w:rPr>
          <w:rFonts w:ascii="Cambria" w:hAnsi="Cambria" w:cs="Calibri Light" w:asciiTheme="majorHAnsi" w:hAnsiTheme="majorHAnsi"/>
          <w:b/>
          <w:b/>
          <w:bCs/>
          <w:sz w:val="22"/>
          <w:szCs w:val="22"/>
        </w:rPr>
      </w:pPr>
      <w:r>
        <w:rPr>
          <w:rFonts w:cs="Calibri Light" w:ascii="Cambria" w:hAnsi="Cambria" w:asciiTheme="majorHAnsi" w:hAnsiTheme="majorHAnsi"/>
          <w:b/>
          <w:bCs/>
          <w:sz w:val="22"/>
          <w:szCs w:val="22"/>
        </w:rPr>
        <w:t>4.</w:t>
        <w:tab/>
        <w:t>Zamawiający porówna jedynie te oferty, które nie zostaną odrzucone przez zamawiającego.</w:t>
      </w:r>
    </w:p>
    <w:p>
      <w:pPr>
        <w:pStyle w:val="Normal"/>
        <w:tabs>
          <w:tab w:val="clear" w:pos="708"/>
          <w:tab w:val="left" w:pos="540" w:leader="none"/>
        </w:tabs>
        <w:jc w:val="both"/>
        <w:rPr>
          <w:rFonts w:ascii="Cambria" w:hAnsi="Cambria" w:cs="Calibri Light" w:asciiTheme="majorHAnsi" w:hAnsiTheme="majorHAnsi"/>
          <w:sz w:val="22"/>
          <w:szCs w:val="22"/>
        </w:rPr>
      </w:pPr>
      <w:r>
        <w:rPr>
          <w:rFonts w:cs="Calibri Light" w:ascii="Cambria" w:hAnsi="Cambria"/>
          <w:sz w:val="22"/>
          <w:szCs w:val="22"/>
        </w:rPr>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14 - Informacja o miejscu oraz terminie składania i otwarcia ofert</w:t>
      </w:r>
    </w:p>
    <w:p>
      <w:pPr>
        <w:pStyle w:val="Normal"/>
        <w:ind w:left="360" w:hanging="0"/>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numPr>
          <w:ilvl w:val="0"/>
          <w:numId w:val="16"/>
        </w:numPr>
        <w:ind w:left="426" w:hanging="426"/>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Ofertę należy złożyć w formie elektronicznej lub w postaci elektronicznej opatrzonej zgodnie z wyborem: </w:t>
      </w:r>
    </w:p>
    <w:p>
      <w:pPr>
        <w:pStyle w:val="ListParagraph"/>
        <w:numPr>
          <w:ilvl w:val="0"/>
          <w:numId w:val="17"/>
        </w:numPr>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 xml:space="preserve">podpisem zaufanym, </w:t>
      </w:r>
    </w:p>
    <w:p>
      <w:pPr>
        <w:pStyle w:val="ListParagraph"/>
        <w:numPr>
          <w:ilvl w:val="0"/>
          <w:numId w:val="17"/>
        </w:numPr>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 xml:space="preserve">podpisem osobistym, </w:t>
      </w:r>
    </w:p>
    <w:p>
      <w:pPr>
        <w:pStyle w:val="ListParagraph"/>
        <w:numPr>
          <w:ilvl w:val="0"/>
          <w:numId w:val="17"/>
        </w:numPr>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 xml:space="preserve">podpisem kwalifikowanym, </w:t>
      </w:r>
    </w:p>
    <w:p>
      <w:pPr>
        <w:pStyle w:val="ListParagraph"/>
        <w:numPr>
          <w:ilvl w:val="0"/>
          <w:numId w:val="17"/>
        </w:numPr>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lub przesłać jej zeskanowaną kopię (cyfrowe odwzorowanie).</w:t>
      </w:r>
    </w:p>
    <w:p>
      <w:pPr>
        <w:pStyle w:val="Normal"/>
        <w:ind w:left="426"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2.</w:t>
        <w:tab/>
        <w:t xml:space="preserve">Adres , na który należy przesłać ofertę: </w:t>
      </w:r>
      <w:hyperlink r:id="rId4">
        <w:r>
          <w:rPr>
            <w:rStyle w:val="Czeinternetowe"/>
            <w:rFonts w:cs="Calibri Light" w:ascii="Cambria" w:hAnsi="Cambria" w:asciiTheme="majorHAnsi" w:hAnsiTheme="majorHAnsi"/>
            <w:b/>
            <w:color w:val="000000"/>
            <w:sz w:val="22"/>
            <w:szCs w:val="22"/>
          </w:rPr>
          <w:t>zam.pub.oferta@tomaszow-maz.pl</w:t>
        </w:r>
      </w:hyperlink>
      <w:r>
        <w:rPr>
          <w:rFonts w:cs="Calibri Light" w:ascii="Cambria" w:hAnsi="Cambria" w:asciiTheme="majorHAnsi" w:hAnsiTheme="majorHAnsi"/>
          <w:b/>
          <w:color w:val="000000"/>
          <w:sz w:val="22"/>
          <w:szCs w:val="22"/>
        </w:rPr>
        <w:t xml:space="preserve"> </w:t>
      </w:r>
    </w:p>
    <w:p>
      <w:pPr>
        <w:pStyle w:val="Normal"/>
        <w:ind w:left="426" w:hanging="284"/>
        <w:jc w:val="both"/>
        <w:rPr>
          <w:rFonts w:ascii="Cambria" w:hAnsi="Cambria" w:cs="Calibri Light" w:asciiTheme="majorHAnsi" w:hAnsiTheme="majorHAnsi"/>
          <w:sz w:val="22"/>
          <w:szCs w:val="22"/>
        </w:rPr>
      </w:pPr>
      <w:r>
        <w:rPr>
          <w:rFonts w:cs="Calibri Light" w:ascii="Cambria" w:hAnsi="Cambria" w:asciiTheme="majorHAnsi" w:hAnsiTheme="majorHAnsi"/>
          <w:color w:val="000000"/>
          <w:sz w:val="22"/>
          <w:szCs w:val="22"/>
        </w:rPr>
        <w:t>3.</w:t>
        <w:tab/>
        <w:t xml:space="preserve">Termin złożenia oferty </w:t>
      </w:r>
      <w:r>
        <w:rPr>
          <w:rFonts w:cs="Calibri Light" w:ascii="Cambria" w:hAnsi="Cambria" w:asciiTheme="majorHAnsi" w:hAnsiTheme="majorHAnsi"/>
          <w:b/>
          <w:color w:val="000000"/>
          <w:sz w:val="22"/>
          <w:szCs w:val="22"/>
        </w:rPr>
        <w:t xml:space="preserve">do dnia </w:t>
      </w:r>
      <w:r>
        <w:rPr>
          <w:rFonts w:eastAsia="Times New Roman" w:cs="Calibri Light" w:ascii="Cambria" w:hAnsi="Cambria" w:asciiTheme="majorHAnsi" w:hAnsiTheme="majorHAnsi"/>
          <w:b/>
          <w:color w:val="000000"/>
          <w:kern w:val="0"/>
          <w:sz w:val="22"/>
          <w:szCs w:val="22"/>
          <w:lang w:val="pl-PL" w:eastAsia="pl-PL" w:bidi="ar-SA"/>
        </w:rPr>
        <w:t>09.08.2022</w:t>
      </w:r>
      <w:r>
        <w:rPr>
          <w:rFonts w:cs="Calibri Light" w:ascii="Cambria" w:hAnsi="Cambria" w:asciiTheme="majorHAnsi" w:hAnsiTheme="majorHAnsi"/>
          <w:b/>
          <w:color w:val="000000"/>
          <w:sz w:val="22"/>
          <w:szCs w:val="22"/>
        </w:rPr>
        <w:t>r. do godz. 9</w:t>
      </w:r>
      <w:r>
        <w:rPr>
          <w:rFonts w:cs="Calibri Light" w:ascii="Cambria" w:hAnsi="Cambria" w:asciiTheme="majorHAnsi" w:hAnsiTheme="majorHAnsi"/>
          <w:b/>
          <w:color w:val="000000"/>
          <w:sz w:val="22"/>
          <w:szCs w:val="22"/>
          <w:vertAlign w:val="superscript"/>
        </w:rPr>
        <w:t>00</w:t>
      </w:r>
      <w:r>
        <w:rPr>
          <w:rFonts w:cs="Calibri Light" w:ascii="Cambria" w:hAnsi="Cambria" w:asciiTheme="majorHAnsi" w:hAnsiTheme="majorHAnsi"/>
          <w:color w:val="000000"/>
          <w:sz w:val="22"/>
          <w:szCs w:val="22"/>
        </w:rPr>
        <w:t xml:space="preserve"> </w:t>
      </w:r>
      <w:r>
        <w:rPr>
          <w:rFonts w:cs="Calibri Light" w:ascii="Cambria" w:hAnsi="Cambria" w:asciiTheme="majorHAnsi" w:hAnsiTheme="majorHAnsi"/>
          <w:sz w:val="22"/>
          <w:szCs w:val="22"/>
        </w:rPr>
        <w:t xml:space="preserve">(decyduje data wpływu na pocztę elektroniczną zamawiającego). </w:t>
      </w:r>
    </w:p>
    <w:p>
      <w:pPr>
        <w:pStyle w:val="Normal"/>
        <w:ind w:left="426"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4.</w:t>
        <w:tab/>
        <w:t xml:space="preserve">Przesyłana przez wykonawcę oferta powinna być zatytułowana: Oferta dotyczy zamówienia: </w:t>
      </w:r>
      <w:r>
        <w:rPr>
          <w:rFonts w:eastAsia="Times New Roman" w:cs="Calibri Light" w:ascii="Cambria" w:hAnsi="Cambria" w:asciiTheme="majorHAnsi" w:hAnsiTheme="majorHAnsi"/>
          <w:b/>
          <w:color w:val="auto"/>
          <w:kern w:val="0"/>
          <w:sz w:val="22"/>
          <w:szCs w:val="22"/>
          <w:lang w:val="pl-PL" w:eastAsia="pl-PL" w:bidi="ar-SA"/>
        </w:rPr>
        <w:t>Zakup urządzeń związanych z komunikacją online systemu wizualnego.</w:t>
      </w:r>
    </w:p>
    <w:p>
      <w:pPr>
        <w:pStyle w:val="Normal"/>
        <w:ind w:left="426"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5.</w:t>
        <w:tab/>
        <w:t>Oferta, która złożona będzie po terminie – nie będzie przez zamawiającego rozpatrywana.</w:t>
      </w:r>
    </w:p>
    <w:p>
      <w:pPr>
        <w:pStyle w:val="Normal"/>
        <w:ind w:left="426"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6.</w:t>
        <w:tab/>
        <w:t xml:space="preserve">Otwarcie ofert polegające na otwarciu plików przesłanych przez wykonawców nastąpi w siedzibie zamawiającego w Wydziale Rozwoju, Inwestycji i Klimatu p. 11 (budynek C), w dniu  </w:t>
      </w:r>
      <w:r>
        <w:rPr>
          <w:rFonts w:eastAsia="Times New Roman" w:cs="Calibri Light" w:ascii="Cambria" w:hAnsi="Cambria" w:asciiTheme="majorHAnsi" w:hAnsiTheme="majorHAnsi"/>
          <w:b/>
          <w:bCs/>
          <w:color w:val="auto"/>
          <w:kern w:val="0"/>
          <w:sz w:val="22"/>
          <w:szCs w:val="22"/>
          <w:lang w:val="pl-PL" w:eastAsia="pl-PL" w:bidi="ar-SA"/>
        </w:rPr>
        <w:t>09.08.2022</w:t>
      </w:r>
      <w:r>
        <w:rPr>
          <w:rFonts w:cs="Calibri Light" w:ascii="Cambria" w:hAnsi="Cambria" w:asciiTheme="majorHAnsi" w:hAnsiTheme="majorHAnsi"/>
          <w:sz w:val="22"/>
          <w:szCs w:val="22"/>
        </w:rPr>
        <w:t xml:space="preserve"> </w:t>
      </w:r>
      <w:r>
        <w:rPr>
          <w:rFonts w:eastAsia="Times New Roman" w:cs="Calibri Light" w:ascii="Cambria" w:hAnsi="Cambria" w:asciiTheme="majorHAnsi" w:hAnsiTheme="majorHAnsi"/>
          <w:b/>
          <w:bCs/>
          <w:color w:val="auto"/>
          <w:kern w:val="0"/>
          <w:sz w:val="22"/>
          <w:szCs w:val="22"/>
          <w:lang w:val="pl-PL" w:eastAsia="pl-PL" w:bidi="ar-SA"/>
        </w:rPr>
        <w:t>r.</w:t>
      </w:r>
      <w:r>
        <w:rPr>
          <w:rFonts w:cs="Calibri Light" w:ascii="Cambria" w:hAnsi="Cambria" w:asciiTheme="majorHAnsi" w:hAnsiTheme="majorHAnsi"/>
          <w:b/>
          <w:color w:val="FF0000"/>
          <w:sz w:val="22"/>
          <w:szCs w:val="22"/>
        </w:rPr>
        <w:t xml:space="preserve"> </w:t>
      </w:r>
      <w:r>
        <w:rPr>
          <w:rFonts w:cs="Calibri Light" w:ascii="Cambria" w:hAnsi="Cambria" w:asciiTheme="majorHAnsi" w:hAnsiTheme="majorHAnsi"/>
          <w:b/>
          <w:color w:val="000000"/>
          <w:sz w:val="22"/>
          <w:szCs w:val="22"/>
        </w:rPr>
        <w:t xml:space="preserve">o godz. </w:t>
      </w:r>
      <w:r>
        <w:rPr>
          <w:rFonts w:cs="Calibri Light" w:ascii="Cambria" w:hAnsi="Cambria" w:asciiTheme="majorHAnsi" w:hAnsiTheme="majorHAnsi"/>
          <w:b/>
          <w:bCs/>
          <w:color w:val="000000"/>
          <w:sz w:val="22"/>
          <w:szCs w:val="22"/>
        </w:rPr>
        <w:t>9:10.</w:t>
      </w:r>
    </w:p>
    <w:p>
      <w:pPr>
        <w:pStyle w:val="Normal"/>
        <w:ind w:left="426"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7.</w:t>
        <w:tab/>
        <w:t>Bezpośrednio przed otwarciem ofert zamawiający poda nazwę zamówienia, kwotę, jaką zamierza przeznaczyć na sfinansowanie zamówienia, ilość założonych ofert, a następnie otworzy oferty i poda nazwy wykonawców, ceny ofert.</w:t>
      </w:r>
    </w:p>
    <w:p>
      <w:pPr>
        <w:pStyle w:val="Normal"/>
        <w:ind w:left="426"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8.</w:t>
        <w:tab/>
      </w:r>
      <w:r>
        <w:rPr>
          <w:rFonts w:cs="Calibri Light" w:ascii="Cambria" w:hAnsi="Cambria" w:asciiTheme="majorHAnsi" w:hAnsiTheme="majorHAnsi"/>
          <w:sz w:val="22"/>
          <w:szCs w:val="22"/>
          <w:u w:val="single"/>
        </w:rPr>
        <w:t>Nie dopuszcza się składania ofert poprzez E-PUAP. Oferta tak złożona nie zostanie rozpatrzona.</w:t>
      </w:r>
    </w:p>
    <w:p>
      <w:pPr>
        <w:pStyle w:val="Normal"/>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15 – Informacja o wniesieniu wadium</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nie wymaga wniesienia wadium w niniejszym postępowaniu.</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16 – Informacja o wymaganym zabezpieczeniu należytego wykonania umowy</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nie wymaga wniesienia zabezpieczenia w niniejszym postępowaniu.</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17 - Rozstrzygnięcie postępowania</w:t>
      </w:r>
    </w:p>
    <w:p>
      <w:pPr>
        <w:pStyle w:val="Normal"/>
        <w:ind w:left="426" w:hanging="426"/>
        <w:jc w:val="both"/>
        <w:rPr>
          <w:rFonts w:ascii="Cambria" w:hAnsi="Cambria" w:eastAsia="Bookman Old Style" w:cs="Calibri Light" w:asciiTheme="majorHAnsi" w:hAnsiTheme="majorHAnsi"/>
          <w:sz w:val="22"/>
          <w:szCs w:val="22"/>
        </w:rPr>
      </w:pPr>
      <w:r>
        <w:rPr>
          <w:rFonts w:eastAsia="Bookman Old Style" w:cs="Calibri Light" w:ascii="Cambria" w:hAnsi="Cambria"/>
          <w:sz w:val="22"/>
          <w:szCs w:val="22"/>
        </w:rPr>
      </w:r>
    </w:p>
    <w:p>
      <w:pPr>
        <w:pStyle w:val="ListParagraph"/>
        <w:numPr>
          <w:ilvl w:val="1"/>
          <w:numId w:val="11"/>
        </w:numPr>
        <w:tabs>
          <w:tab w:val="clear" w:pos="708"/>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niezwłocznie po dokonaniu wyboru oferty informuje jednocześnie wszystkich wykonawców, którzy złożyli oferty o ofercie najkorzystniejszej, odrzuceniu ofert, planowanym terminie zawarcia umowy.</w:t>
      </w:r>
    </w:p>
    <w:p>
      <w:pPr>
        <w:pStyle w:val="ListParagraph"/>
        <w:numPr>
          <w:ilvl w:val="1"/>
          <w:numId w:val="11"/>
        </w:numPr>
        <w:tabs>
          <w:tab w:val="clear" w:pos="708"/>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Informacje, o których mowa w ust. 1 zamieszczane są na stornie internetowej zamawiającego (BIP).</w:t>
      </w:r>
    </w:p>
    <w:p>
      <w:pPr>
        <w:pStyle w:val="ListParagraph"/>
        <w:numPr>
          <w:ilvl w:val="1"/>
          <w:numId w:val="11"/>
        </w:numPr>
        <w:tabs>
          <w:tab w:val="clear" w:pos="708"/>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zawiera umowę z wybranym wykonawcą w terminie nie krótszym niż 2 dni od dnia przesłania informacji o wyborze oferty.</w:t>
      </w:r>
    </w:p>
    <w:p>
      <w:pPr>
        <w:pStyle w:val="ListParagraph"/>
        <w:numPr>
          <w:ilvl w:val="1"/>
          <w:numId w:val="11"/>
        </w:numPr>
        <w:tabs>
          <w:tab w:val="clear" w:pos="708"/>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może zawrzeć umowę niezwłocznie, jeżeli wpłynęła tylko jedna oferta.</w:t>
      </w:r>
    </w:p>
    <w:p>
      <w:pPr>
        <w:pStyle w:val="ListParagraph"/>
        <w:numPr>
          <w:ilvl w:val="1"/>
          <w:numId w:val="11"/>
        </w:numPr>
        <w:tabs>
          <w:tab w:val="clear" w:pos="708"/>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Postępowanie o udzielenie zamówienia publicznego kończy się w chwilą zawarcia umowy lub unieważnienia postępowania.</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18 - Unieważnienie postępowania</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ListParagraph"/>
        <w:numPr>
          <w:ilvl w:val="0"/>
          <w:numId w:val="14"/>
        </w:numPr>
        <w:ind w:left="284" w:hanging="284"/>
        <w:jc w:val="both"/>
        <w:rPr>
          <w:rFonts w:ascii="Cambria" w:hAnsi="Cambria" w:cs="Calibri Light" w:asciiTheme="majorHAnsi" w:hAnsiTheme="majorHAnsi"/>
          <w:b/>
          <w:b/>
          <w:bCs/>
          <w:sz w:val="22"/>
          <w:szCs w:val="22"/>
        </w:rPr>
      </w:pPr>
      <w:r>
        <w:rPr>
          <w:rFonts w:cs="Calibri Light" w:ascii="Cambria" w:hAnsi="Cambria" w:asciiTheme="majorHAnsi" w:hAnsiTheme="majorHAnsi"/>
          <w:sz w:val="22"/>
          <w:szCs w:val="22"/>
        </w:rPr>
        <w:t xml:space="preserve">Zamawiający unieważnia postępowanie o udzielenie zamówienia, jeżeli: </w:t>
      </w:r>
    </w:p>
    <w:p>
      <w:pPr>
        <w:pStyle w:val="ListParagraph"/>
        <w:numPr>
          <w:ilvl w:val="0"/>
          <w:numId w:val="15"/>
        </w:numPr>
        <w:tabs>
          <w:tab w:val="clear" w:pos="708"/>
          <w:tab w:val="left" w:pos="360" w:leader="none"/>
        </w:tabs>
        <w:ind w:left="375" w:hanging="91"/>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nie złożono żadnej ważnej oferty,</w:t>
      </w:r>
    </w:p>
    <w:p>
      <w:pPr>
        <w:pStyle w:val="ListParagraph"/>
        <w:numPr>
          <w:ilvl w:val="0"/>
          <w:numId w:val="15"/>
        </w:numPr>
        <w:tabs>
          <w:tab w:val="clear" w:pos="708"/>
          <w:tab w:val="left" w:pos="709" w:leader="none"/>
        </w:tabs>
        <w:ind w:left="709" w:hanging="425"/>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cena najkorzystniejszej oferty lub oferta z najniższą ceną przewyższa kwotę, którą zamawiający zamierza przeznaczyć na sfinansowanie zamówienia chyba, że zamawiający może zwiększyć tę kwotę do ceny najkorzystniejszej oferty,</w:t>
      </w:r>
    </w:p>
    <w:p>
      <w:pPr>
        <w:pStyle w:val="ListParagraph"/>
        <w:numPr>
          <w:ilvl w:val="0"/>
          <w:numId w:val="15"/>
        </w:numPr>
        <w:tabs>
          <w:tab w:val="clear" w:pos="708"/>
          <w:tab w:val="left" w:pos="709" w:leader="none"/>
        </w:tabs>
        <w:ind w:left="709" w:hanging="425"/>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wystąpiła zmiana okoliczności powodująca, że prowadzenie postępowania lub wykonanie zamówienia nie leży w interesie publicznym lub interesie zamawiającego,</w:t>
      </w:r>
    </w:p>
    <w:p>
      <w:pPr>
        <w:pStyle w:val="ListParagraph"/>
        <w:numPr>
          <w:ilvl w:val="0"/>
          <w:numId w:val="15"/>
        </w:numPr>
        <w:tabs>
          <w:tab w:val="clear" w:pos="708"/>
          <w:tab w:val="left" w:pos="709" w:leader="none"/>
        </w:tabs>
        <w:ind w:left="709" w:hanging="425"/>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postępowanie obarczone jest wadą uniemożliwiającą zawarcie umowy w sprawie zamówienia publicznego,</w:t>
      </w:r>
    </w:p>
    <w:p>
      <w:pPr>
        <w:pStyle w:val="ListParagraph"/>
        <w:numPr>
          <w:ilvl w:val="0"/>
          <w:numId w:val="15"/>
        </w:numPr>
        <w:tabs>
          <w:tab w:val="clear" w:pos="708"/>
          <w:tab w:val="left" w:pos="709" w:leader="none"/>
        </w:tabs>
        <w:ind w:left="709" w:hanging="425"/>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wykonawca nie wniósł wymaganego zabezpieczenia należytego wykonania umowy lub uchylił się od zawarcia umowy.</w:t>
      </w:r>
    </w:p>
    <w:p>
      <w:pPr>
        <w:pStyle w:val="ListParagraph"/>
        <w:numPr>
          <w:ilvl w:val="0"/>
          <w:numId w:val="14"/>
        </w:numPr>
        <w:tabs>
          <w:tab w:val="clear" w:pos="708"/>
          <w:tab w:val="left" w:pos="360"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Zamawiający zastrzega sobie możliwość zakończenia postępowania bez wyboru oferty niezwłocznie zawiadamiając wykonawców. </w:t>
      </w:r>
    </w:p>
    <w:p>
      <w:pPr>
        <w:pStyle w:val="ListParagraph"/>
        <w:numPr>
          <w:ilvl w:val="0"/>
          <w:numId w:val="14"/>
        </w:numPr>
        <w:tabs>
          <w:tab w:val="clear" w:pos="708"/>
          <w:tab w:val="left" w:pos="360"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Zamawiający może unieważnić postępowanie  przed upływem terminu do składania ofert, jeżeli wystąpiły okoliczności powodujące, że dalsze prowadzenie postępowania jest nieuzasadnione.</w:t>
      </w:r>
    </w:p>
    <w:p>
      <w:pPr>
        <w:pStyle w:val="ListParagraph"/>
        <w:numPr>
          <w:ilvl w:val="0"/>
          <w:numId w:val="14"/>
        </w:numPr>
        <w:tabs>
          <w:tab w:val="clear" w:pos="708"/>
          <w:tab w:val="left" w:pos="360"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O unieważnieniu postępowania zamawiający zawiadamia wykonawców, którzy złożyli oferty i zamieszcza te informacje na własnej stronie internetowej.</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ind w:left="720" w:hanging="720"/>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19 - Informacja o możliwości wniesienia do zamawiającego środka ochrony prawnej</w:t>
      </w:r>
    </w:p>
    <w:p>
      <w:pPr>
        <w:pStyle w:val="Normal"/>
        <w:tabs>
          <w:tab w:val="clear" w:pos="708"/>
          <w:tab w:val="left" w:pos="36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ListParagraph"/>
        <w:numPr>
          <w:ilvl w:val="0"/>
          <w:numId w:val="4"/>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Wykonawca może wnieść do zamawiającego środek ochrony prawnej zwany sprzeciwem na czynność podjętą w postępowaniu o udzielenie zamówienia lub zaniechanie czynności, do której zamawiający był zobowiązany. </w:t>
      </w:r>
    </w:p>
    <w:p>
      <w:pPr>
        <w:pStyle w:val="ListParagraph"/>
        <w:numPr>
          <w:ilvl w:val="0"/>
          <w:numId w:val="4"/>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Sprzeciw przysługuje wyłącznie wykonawcy, który wykaże, że ma lub miał interes </w:t>
        <w:br/>
        <w:t>w uzyskaniu zamówienia.</w:t>
      </w:r>
    </w:p>
    <w:p>
      <w:pPr>
        <w:pStyle w:val="ListParagraph"/>
        <w:numPr>
          <w:ilvl w:val="0"/>
          <w:numId w:val="4"/>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Sprzeciw powinien wskazywać czynność zamawiającego, której zarzuca się niezgodność                       z Regulaminem Udzielania Zamówień Publicznych tut. Urzędu, obowiązującymi przepisami prawa lub czynność zaniechaną, zawierać zwięzłe przedstawienie zarzutów, określać żądanie oraz wskazywać okoliczności faktyczne i prawne uzasadniające jego wniesienie.</w:t>
      </w:r>
    </w:p>
    <w:p>
      <w:pPr>
        <w:pStyle w:val="ListParagraph"/>
        <w:numPr>
          <w:ilvl w:val="0"/>
          <w:numId w:val="4"/>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Sprzeciw wnosi się w terminie 2 dni od dnia w którym wykonawca mógł przy dołożeniu należytej staranności powziąć informację o okolicznościach stanowiących podstawę jego wniesienia.</w:t>
      </w:r>
    </w:p>
    <w:p>
      <w:pPr>
        <w:pStyle w:val="ListParagraph"/>
        <w:numPr>
          <w:ilvl w:val="0"/>
          <w:numId w:val="4"/>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Po upływie terminu, o którym mowa w ust. 4 zamawiający może rozpoznać sprzeciw lub pozostawić bez rozpoznania.</w:t>
      </w:r>
    </w:p>
    <w:p>
      <w:pPr>
        <w:pStyle w:val="ListParagraph"/>
        <w:numPr>
          <w:ilvl w:val="0"/>
          <w:numId w:val="4"/>
        </w:numPr>
        <w:tabs>
          <w:tab w:val="clear" w:pos="708"/>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W przypadku uznania zasadności sprzeciwu zamawiający powtarza czynność albo dokonuje czynności zaniechanej, informując o tym wykonawców w sposób przewidziany w Regulaminie Udzielania Zamówień Publicznych tut. Urzędu. </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Akapitzlist1"/>
        <w:spacing w:lineRule="auto" w:line="240" w:before="0" w:after="0"/>
        <w:ind w:left="0" w:hanging="0"/>
        <w:jc w:val="both"/>
        <w:rPr>
          <w:rFonts w:ascii="Cambria" w:hAnsi="Cambria" w:cs="Calibri Light" w:asciiTheme="majorHAnsi" w:hAnsiTheme="majorHAnsi"/>
        </w:rPr>
      </w:pPr>
      <w:r>
        <w:rPr>
          <w:rFonts w:cs="Calibri Light" w:ascii="Cambria" w:hAnsi="Cambria"/>
        </w:rPr>
      </w:r>
    </w:p>
    <w:p>
      <w:pPr>
        <w:pStyle w:val="Normal"/>
        <w:shd w:val="clear" w:color="auto" w:fill="F3F3F3"/>
        <w:ind w:left="720" w:hanging="720"/>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20 - Postanowienia umowne/wzór umowy</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ListParagraph"/>
        <w:numPr>
          <w:ilvl w:val="2"/>
          <w:numId w:val="11"/>
        </w:numPr>
        <w:tabs>
          <w:tab w:val="clear" w:pos="708"/>
          <w:tab w:val="left" w:pos="0" w:leader="none"/>
          <w:tab w:val="left" w:pos="284" w:leader="none"/>
        </w:tabs>
        <w:ind w:left="284" w:hanging="284"/>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Wszelkie postanowienia umowne zawarte są we </w:t>
      </w:r>
      <w:r>
        <w:rPr>
          <w:rFonts w:cs="Calibri Light" w:ascii="Cambria" w:hAnsi="Cambria" w:asciiTheme="majorHAnsi" w:hAnsiTheme="majorHAnsi"/>
          <w:i/>
          <w:sz w:val="22"/>
          <w:szCs w:val="22"/>
        </w:rPr>
        <w:t>Wzorze umowy - załączniku nr 2 do zapytania</w:t>
      </w:r>
      <w:r>
        <w:rPr>
          <w:rFonts w:cs="Calibri Light" w:ascii="Cambria" w:hAnsi="Cambria" w:asciiTheme="majorHAnsi" w:hAnsiTheme="majorHAnsi"/>
          <w:sz w:val="22"/>
          <w:szCs w:val="22"/>
        </w:rPr>
        <w:t>.</w:t>
      </w:r>
    </w:p>
    <w:p>
      <w:pPr>
        <w:pStyle w:val="ListParagraph"/>
        <w:numPr>
          <w:ilvl w:val="2"/>
          <w:numId w:val="11"/>
        </w:numPr>
        <w:tabs>
          <w:tab w:val="clear" w:pos="708"/>
          <w:tab w:val="left" w:pos="0" w:leader="none"/>
          <w:tab w:val="left" w:pos="284" w:leader="none"/>
        </w:tabs>
        <w:ind w:left="2160" w:hanging="2160"/>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W sprawach nieuregulowanych mają zastosowanie przepisy Kodeksu cywilnego.</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ind w:left="720" w:hanging="720"/>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21 – Klauzula RODO art. 13</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ind w:left="142" w:hanging="0"/>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pStyle w:val="ListParagraph"/>
        <w:widowControl w:val="false"/>
        <w:numPr>
          <w:ilvl w:val="0"/>
          <w:numId w:val="53"/>
        </w:numPr>
        <w:spacing w:before="0" w:after="0"/>
        <w:ind w:left="720"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 xml:space="preserve">administratorem Pani/Pana danych osobowych jest Gmina - Miasto Tomaszów Mazowiecki, w imieniu której działa Prezydent Miasta Tomaszowa Mazowieckiego, ul. POW 10/16, 97-200 Tomaszów Maz., </w:t>
      </w:r>
      <w:r>
        <w:rPr>
          <w:rFonts w:cs="Calibri Light" w:ascii="Cambria" w:hAnsi="Cambria" w:asciiTheme="majorHAnsi" w:hAnsiTheme="majorHAnsi"/>
          <w:bCs/>
          <w:sz w:val="22"/>
          <w:szCs w:val="22"/>
        </w:rPr>
        <w:t>NIP 773-16-56-546, REGON 590648310,</w:t>
      </w:r>
    </w:p>
    <w:p>
      <w:pPr>
        <w:pStyle w:val="ListParagraph"/>
        <w:widowControl w:val="false"/>
        <w:numPr>
          <w:ilvl w:val="0"/>
          <w:numId w:val="54"/>
        </w:numPr>
        <w:spacing w:before="0" w:after="0"/>
        <w:ind w:left="720"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 xml:space="preserve">inspektorem ochrony danych osobowych jest osoba wskazana przez Prezydenta miasta, </w:t>
      </w:r>
    </w:p>
    <w:p>
      <w:pPr>
        <w:pStyle w:val="ListParagraph"/>
        <w:widowControl w:val="false"/>
        <w:numPr>
          <w:ilvl w:val="0"/>
          <w:numId w:val="55"/>
        </w:numPr>
        <w:spacing w:before="0" w:after="0"/>
        <w:ind w:left="720" w:hanging="540"/>
        <w:contextualSpacing/>
        <w:jc w:val="both"/>
        <w:rPr>
          <w:rFonts w:ascii="Cambria" w:hAnsi="Cambria" w:cs="Calibri Light" w:asciiTheme="majorHAnsi" w:hAnsiTheme="majorHAnsi"/>
          <w:b/>
          <w:b/>
          <w:i/>
          <w:i/>
          <w:sz w:val="22"/>
          <w:szCs w:val="22"/>
        </w:rPr>
      </w:pPr>
      <w:r>
        <w:rPr>
          <w:rFonts w:cs="Calibri Light" w:ascii="Cambria" w:hAnsi="Cambria" w:asciiTheme="majorHAnsi" w:hAnsiTheme="majorHAnsi"/>
          <w:sz w:val="22"/>
          <w:szCs w:val="22"/>
        </w:rPr>
        <w:t>Pani/Pana dane osobowe przetwarzane będą na podstawie art. 6 ust. 1 lit. c</w:t>
      </w:r>
      <w:r>
        <w:rPr>
          <w:rFonts w:cs="Calibri Light" w:ascii="Cambria" w:hAnsi="Cambria" w:asciiTheme="majorHAnsi" w:hAnsiTheme="majorHAnsi"/>
          <w:i/>
          <w:sz w:val="22"/>
          <w:szCs w:val="22"/>
        </w:rPr>
        <w:t xml:space="preserve"> </w:t>
      </w:r>
      <w:r>
        <w:rPr>
          <w:rFonts w:cs="Calibri Light" w:ascii="Cambria" w:hAnsi="Cambria" w:asciiTheme="majorHAnsi" w:hAnsiTheme="majorHAnsi"/>
          <w:sz w:val="22"/>
          <w:szCs w:val="22"/>
        </w:rPr>
        <w:t>RODO w celu związanym z przedmiotowym postępowaniem o udzielenie zamówienia publicznego.</w:t>
      </w:r>
    </w:p>
    <w:p>
      <w:pPr>
        <w:pStyle w:val="ListParagraph"/>
        <w:widowControl w:val="false"/>
        <w:numPr>
          <w:ilvl w:val="0"/>
          <w:numId w:val="56"/>
        </w:numPr>
        <w:spacing w:before="0" w:after="0"/>
        <w:ind w:left="720"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odbiorcami Pani/Pana danych osobowych będą osoby lub podmioty, którym udostępniona zostanie dokumentacja postępowania,</w:t>
      </w:r>
    </w:p>
    <w:p>
      <w:pPr>
        <w:pStyle w:val="ListParagraph"/>
        <w:widowControl w:val="false"/>
        <w:numPr>
          <w:ilvl w:val="0"/>
          <w:numId w:val="57"/>
        </w:numPr>
        <w:spacing w:before="0" w:after="0"/>
        <w:ind w:left="720"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Pani/Pana dane osobowe będą przechowywane przez okres 4 lat od dnia zakończenia postępowania o udzielenie zamówienia, a jeżeli czas trwania umowy przekracza 4 lata, okres przechowywania obejmuje cały czas trwania umowy;</w:t>
      </w:r>
    </w:p>
    <w:p>
      <w:pPr>
        <w:pStyle w:val="ListParagraph"/>
        <w:widowControl w:val="false"/>
        <w:numPr>
          <w:ilvl w:val="0"/>
          <w:numId w:val="58"/>
        </w:numPr>
        <w:spacing w:before="0" w:after="0"/>
        <w:ind w:left="720"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pPr>
        <w:pStyle w:val="ListParagraph"/>
        <w:widowControl w:val="false"/>
        <w:numPr>
          <w:ilvl w:val="0"/>
          <w:numId w:val="59"/>
        </w:numPr>
        <w:spacing w:before="0" w:after="0"/>
        <w:ind w:left="720"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w odniesieniu do Pani/Pana danych osobowych decyzje nie będą podejmowane w sposób zautomatyzowany, stosowanie do art. 22 RODO;</w:t>
      </w:r>
    </w:p>
    <w:p>
      <w:pPr>
        <w:pStyle w:val="ListParagraph"/>
        <w:widowControl w:val="false"/>
        <w:numPr>
          <w:ilvl w:val="0"/>
          <w:numId w:val="60"/>
        </w:numPr>
        <w:spacing w:before="0" w:after="0"/>
        <w:ind w:left="720"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posiada Pani/Pan:</w:t>
      </w:r>
    </w:p>
    <w:p>
      <w:pPr>
        <w:pStyle w:val="ListParagraph"/>
        <w:numPr>
          <w:ilvl w:val="0"/>
          <w:numId w:val="61"/>
        </w:numPr>
        <w:spacing w:before="0" w:after="0"/>
        <w:ind w:left="709" w:hanging="540"/>
        <w:contextualSpacing/>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na podstawie art. 15 RODO prawo dostępu do danych osobowych Pani/Pana dotyczących;</w:t>
      </w:r>
    </w:p>
    <w:p>
      <w:pPr>
        <w:pStyle w:val="ListParagraph"/>
        <w:numPr>
          <w:ilvl w:val="0"/>
          <w:numId w:val="62"/>
        </w:numPr>
        <w:spacing w:before="0" w:after="0"/>
        <w:ind w:left="709" w:hanging="540"/>
        <w:contextualSpacing/>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na podstawie art. 16 RODO prawo do sprostowania Pani/Pana danych osobowych </w:t>
      </w:r>
      <w:r>
        <w:rPr>
          <w:rFonts w:cs="Calibri Light" w:ascii="Cambria" w:hAnsi="Cambria" w:asciiTheme="majorHAnsi" w:hAnsiTheme="majorHAnsi"/>
          <w:b/>
          <w:sz w:val="22"/>
          <w:szCs w:val="22"/>
          <w:vertAlign w:val="superscript"/>
        </w:rPr>
        <w:t>**</w:t>
      </w:r>
      <w:r>
        <w:rPr>
          <w:rFonts w:cs="Calibri Light" w:ascii="Cambria" w:hAnsi="Cambria" w:asciiTheme="majorHAnsi" w:hAnsiTheme="majorHAnsi"/>
          <w:sz w:val="22"/>
          <w:szCs w:val="22"/>
        </w:rPr>
        <w:t>;</w:t>
      </w:r>
    </w:p>
    <w:p>
      <w:pPr>
        <w:pStyle w:val="ListParagraph"/>
        <w:numPr>
          <w:ilvl w:val="0"/>
          <w:numId w:val="63"/>
        </w:numPr>
        <w:spacing w:before="0" w:after="0"/>
        <w:ind w:left="709" w:hanging="540"/>
        <w:contextualSpacing/>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 xml:space="preserve">na podstawie art. 18 RODO prawo żądania od administratora ograniczenia przetwarzania danych osobowych z zastrzeżeniem przypadków, o których mowa w art. 18 ust. 2 RODO ***;  </w:t>
      </w:r>
    </w:p>
    <w:p>
      <w:pPr>
        <w:pStyle w:val="ListParagraph"/>
        <w:numPr>
          <w:ilvl w:val="0"/>
          <w:numId w:val="64"/>
        </w:numPr>
        <w:spacing w:before="0" w:after="0"/>
        <w:ind w:left="709"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prawo do wniesienia skargi do Prezesa Urzędu Ochrony Danych Osobowych, gdy uzna Pani/Pan, że przetwarzanie danych osobowych Pani/Pana dotyczących narusza przepisy RODO;</w:t>
      </w:r>
    </w:p>
    <w:p>
      <w:pPr>
        <w:pStyle w:val="ListParagraph"/>
        <w:numPr>
          <w:ilvl w:val="0"/>
          <w:numId w:val="65"/>
        </w:numPr>
        <w:spacing w:before="0" w:after="0"/>
        <w:ind w:left="426"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nie przysługuje Pani/Panu:</w:t>
      </w:r>
    </w:p>
    <w:p>
      <w:pPr>
        <w:pStyle w:val="ListParagraph"/>
        <w:numPr>
          <w:ilvl w:val="0"/>
          <w:numId w:val="66"/>
        </w:numPr>
        <w:spacing w:before="0" w:after="0"/>
        <w:ind w:left="709"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w związku z art. 17 ust. 3 lit. b, d lub e RODO prawo do usunięcia danych osobowych;</w:t>
      </w:r>
    </w:p>
    <w:p>
      <w:pPr>
        <w:pStyle w:val="ListParagraph"/>
        <w:numPr>
          <w:ilvl w:val="0"/>
          <w:numId w:val="67"/>
        </w:numPr>
        <w:spacing w:before="0" w:after="0"/>
        <w:ind w:left="709"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prawo do przenoszenia danych osobowych, o którym mowa w art. 20 RODO;</w:t>
      </w:r>
    </w:p>
    <w:p>
      <w:pPr>
        <w:pStyle w:val="ListParagraph"/>
        <w:numPr>
          <w:ilvl w:val="0"/>
          <w:numId w:val="68"/>
        </w:numPr>
        <w:spacing w:before="0" w:after="0"/>
        <w:ind w:left="709" w:hanging="540"/>
        <w:contextualSpacing/>
        <w:jc w:val="both"/>
        <w:rPr>
          <w:rFonts w:ascii="Cambria" w:hAnsi="Cambria" w:cs="Calibri Light" w:asciiTheme="majorHAnsi" w:hAnsiTheme="majorHAnsi"/>
          <w:i/>
          <w:i/>
          <w:sz w:val="22"/>
          <w:szCs w:val="22"/>
        </w:rPr>
      </w:pPr>
      <w:r>
        <w:rPr>
          <w:rFonts w:cs="Calibri Light" w:ascii="Cambria" w:hAnsi="Cambria" w:asciiTheme="majorHAnsi" w:hAnsiTheme="majorHAnsi"/>
          <w:sz w:val="22"/>
          <w:szCs w:val="22"/>
        </w:rPr>
        <w:t xml:space="preserve">na podstawie art. 21 RODO prawo sprzeciwu, wobec przetwarzania danych osobowych, gdyż podstawą prawną przetwarzania Pani/Pana danych osobowych jest art. 6 ust. 1 lit. c RODO. </w:t>
      </w:r>
    </w:p>
    <w:p>
      <w:pPr>
        <w:pStyle w:val="Normal"/>
        <w:jc w:val="both"/>
        <w:rPr>
          <w:rFonts w:ascii="Cambria" w:hAnsi="Cambria" w:cs="Calibri Light" w:asciiTheme="majorHAnsi" w:hAnsiTheme="majorHAnsi"/>
        </w:rPr>
      </w:pPr>
      <w:r>
        <w:rPr>
          <w:rFonts w:cs="Calibri Light" w:ascii="Cambria" w:hAnsi="Cambria" w:asciiTheme="majorHAnsi" w:hAnsiTheme="majorHAnsi"/>
        </w:rPr>
        <w:t>______________________</w:t>
      </w:r>
    </w:p>
    <w:p>
      <w:pPr>
        <w:pStyle w:val="Normal"/>
        <w:ind w:left="426" w:hanging="0"/>
        <w:jc w:val="both"/>
        <w:rPr>
          <w:rFonts w:ascii="Cambria" w:hAnsi="Cambria" w:cs="Calibri Light" w:asciiTheme="majorHAnsi" w:hAnsiTheme="majorHAnsi"/>
          <w:i/>
          <w:i/>
          <w:sz w:val="16"/>
          <w:szCs w:val="16"/>
        </w:rPr>
      </w:pPr>
      <w:r>
        <w:rPr>
          <w:rFonts w:cs="Calibri Light" w:ascii="Cambria" w:hAnsi="Cambria" w:asciiTheme="majorHAnsi" w:hAnsiTheme="majorHAnsi"/>
          <w:b/>
          <w:i/>
          <w:sz w:val="16"/>
          <w:szCs w:val="16"/>
          <w:vertAlign w:val="superscript"/>
        </w:rPr>
        <w:t>*</w:t>
      </w:r>
      <w:r>
        <w:rPr>
          <w:rFonts w:cs="Calibri Light" w:ascii="Cambria" w:hAnsi="Cambria" w:asciiTheme="majorHAnsi" w:hAnsiTheme="majorHAnsi"/>
          <w:b/>
          <w:i/>
          <w:sz w:val="16"/>
          <w:szCs w:val="16"/>
        </w:rPr>
        <w:t xml:space="preserve"> Wyjaśnienie:</w:t>
      </w:r>
      <w:r>
        <w:rPr>
          <w:rFonts w:cs="Calibri Light" w:ascii="Cambria" w:hAnsi="Cambria" w:asciiTheme="majorHAnsi" w:hAnsiTheme="majorHAnsi"/>
          <w:i/>
          <w:sz w:val="16"/>
          <w:szCs w:val="16"/>
        </w:rPr>
        <w:t xml:space="preserve"> informacja w tym zakresie jest wymagana, jeżeli w odniesieniu do danego administratora lub podmiotu przetwarzającego istnieje obowiązek wyznaczenia inspektora ochrony danych osobowych.</w:t>
      </w:r>
    </w:p>
    <w:p>
      <w:pPr>
        <w:pStyle w:val="ListParagraph"/>
        <w:ind w:left="426" w:hanging="0"/>
        <w:jc w:val="both"/>
        <w:rPr>
          <w:rFonts w:ascii="Cambria" w:hAnsi="Cambria" w:cs="Calibri Light" w:asciiTheme="majorHAnsi" w:hAnsiTheme="majorHAnsi"/>
          <w:i/>
          <w:i/>
          <w:sz w:val="16"/>
          <w:szCs w:val="16"/>
        </w:rPr>
      </w:pPr>
      <w:r>
        <w:rPr>
          <w:rFonts w:cs="Calibri Light" w:ascii="Cambria" w:hAnsi="Cambria" w:asciiTheme="majorHAnsi" w:hAnsiTheme="majorHAnsi"/>
          <w:b/>
          <w:i/>
          <w:sz w:val="16"/>
          <w:szCs w:val="16"/>
          <w:vertAlign w:val="superscript"/>
        </w:rPr>
        <w:t xml:space="preserve">** </w:t>
      </w:r>
      <w:r>
        <w:rPr>
          <w:rFonts w:cs="Calibri Light" w:ascii="Cambria" w:hAnsi="Cambria" w:asciiTheme="majorHAnsi" w:hAnsiTheme="majorHAnsi"/>
          <w:b/>
          <w:i/>
          <w:sz w:val="16"/>
          <w:szCs w:val="16"/>
        </w:rPr>
        <w:t>Wyjaśnienie:</w:t>
      </w:r>
      <w:r>
        <w:rPr>
          <w:rFonts w:cs="Calibri Light" w:ascii="Cambria" w:hAnsi="Cambria" w:asciiTheme="majorHAnsi" w:hAnsiTheme="majorHAnsi"/>
          <w:i/>
          <w:sz w:val="16"/>
          <w:szCs w:val="16"/>
        </w:rPr>
        <w:t xml:space="preserve"> skorzystanie z prawa do sprostowania nie może skutkować zmianą wyniku postępowania</w:t>
        <w:br/>
        <w:t>o udzielenie zamówienia publicznego ani zmianą postanowień umowy w zakresie niezgodnym z ustawą Pzp oraz nie może naruszać integralności protokołu oraz jego załączników.</w:t>
      </w:r>
    </w:p>
    <w:p>
      <w:pPr>
        <w:pStyle w:val="Normal"/>
        <w:ind w:left="426" w:hanging="0"/>
        <w:jc w:val="both"/>
        <w:rPr>
          <w:rFonts w:ascii="Cambria" w:hAnsi="Cambria" w:cs="Calibri Light" w:asciiTheme="majorHAnsi" w:hAnsiTheme="majorHAnsi"/>
          <w:sz w:val="16"/>
          <w:szCs w:val="16"/>
        </w:rPr>
      </w:pPr>
      <w:r>
        <w:rPr>
          <w:rFonts w:cs="Calibri Light" w:ascii="Cambria" w:hAnsi="Cambria" w:asciiTheme="majorHAnsi" w:hAnsiTheme="majorHAnsi"/>
          <w:b/>
          <w:i/>
          <w:sz w:val="16"/>
          <w:szCs w:val="16"/>
          <w:vertAlign w:val="superscript"/>
        </w:rPr>
        <w:t xml:space="preserve">*** </w:t>
      </w:r>
      <w:r>
        <w:rPr>
          <w:rFonts w:cs="Calibri Light" w:ascii="Cambria" w:hAnsi="Cambria" w:asciiTheme="majorHAnsi" w:hAnsiTheme="majorHAnsi"/>
          <w:b/>
          <w:i/>
          <w:sz w:val="16"/>
          <w:szCs w:val="16"/>
        </w:rPr>
        <w:t>Wyjaśnienie:</w:t>
      </w:r>
      <w:r>
        <w:rPr>
          <w:rFonts w:cs="Calibri Light" w:ascii="Cambria" w:hAnsi="Cambria" w:asciiTheme="majorHAnsi" w:hAnsiTheme="majorHAnsi"/>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pPr>
        <w:pStyle w:val="Normal"/>
        <w:tabs>
          <w:tab w:val="clear" w:pos="708"/>
          <w:tab w:val="left" w:pos="0" w:leader="none"/>
        </w:tabs>
        <w:jc w:val="both"/>
        <w:rPr>
          <w:rFonts w:ascii="Cambria" w:hAnsi="Cambria" w:cs="Calibri Light" w:asciiTheme="majorHAnsi" w:hAnsiTheme="majorHAnsi"/>
          <w:b/>
          <w:b/>
          <w:sz w:val="22"/>
          <w:szCs w:val="22"/>
        </w:rPr>
      </w:pPr>
      <w:r>
        <w:rPr>
          <w:rFonts w:cs="Calibri Light" w:ascii="Cambria" w:hAnsi="Cambria"/>
          <w:b/>
          <w:sz w:val="22"/>
          <w:szCs w:val="22"/>
        </w:rPr>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shd w:val="clear" w:color="auto" w:fill="F3F3F3"/>
        <w:ind w:left="720" w:hanging="720"/>
        <w:jc w:val="both"/>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Rozdział 22 – Załączniki do ogłoszenia</w:t>
      </w:r>
    </w:p>
    <w:p>
      <w:pPr>
        <w:pStyle w:val="Normal"/>
        <w:ind w:left="-1620" w:hanging="0"/>
        <w:jc w:val="both"/>
        <w:rPr>
          <w:rFonts w:ascii="Cambria" w:hAnsi="Cambria" w:cs="Calibri Light" w:asciiTheme="majorHAnsi" w:hAnsiTheme="majorHAnsi"/>
          <w:sz w:val="22"/>
          <w:szCs w:val="22"/>
        </w:rPr>
      </w:pPr>
      <w:r>
        <w:rPr>
          <w:rFonts w:cs="Calibri Light" w:ascii="Cambria" w:hAnsi="Cambria"/>
          <w:sz w:val="22"/>
          <w:szCs w:val="22"/>
        </w:rPr>
      </w:r>
    </w:p>
    <w:p>
      <w:pPr>
        <w:pStyle w:val="ListParagraph"/>
        <w:numPr>
          <w:ilvl w:val="0"/>
          <w:numId w:val="5"/>
        </w:numPr>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Formularz ofertowy - zał. nr 1.</w:t>
      </w:r>
    </w:p>
    <w:p>
      <w:pPr>
        <w:pStyle w:val="Normal"/>
        <w:numPr>
          <w:ilvl w:val="0"/>
          <w:numId w:val="5"/>
        </w:numPr>
        <w:ind w:left="357" w:hanging="357"/>
        <w:jc w:val="both"/>
        <w:rPr>
          <w:rFonts w:ascii="Cambria" w:hAnsi="Cambria" w:cs="Calibri Light" w:asciiTheme="majorHAnsi" w:hAnsiTheme="majorHAnsi"/>
          <w:sz w:val="22"/>
          <w:szCs w:val="22"/>
        </w:rPr>
      </w:pPr>
      <w:r>
        <w:rPr>
          <w:rFonts w:cs="Calibri Light" w:ascii="Cambria" w:hAnsi="Cambria" w:asciiTheme="majorHAnsi" w:hAnsiTheme="majorHAnsi"/>
          <w:sz w:val="22"/>
          <w:szCs w:val="22"/>
        </w:rPr>
        <w:t>Wzór umowy – zał. nr 2.</w:t>
      </w:r>
    </w:p>
    <w:p>
      <w:pPr>
        <w:pStyle w:val="Normal"/>
        <w:jc w:val="both"/>
        <w:rPr>
          <w:rFonts w:ascii="Cambria" w:hAnsi="Cambria" w:cs="Calibri Light" w:asciiTheme="majorHAnsi" w:hAnsiTheme="majorHAnsi"/>
          <w:sz w:val="22"/>
          <w:szCs w:val="22"/>
        </w:rPr>
      </w:pPr>
      <w:r>
        <w:rPr>
          <w:rFonts w:cs="Calibri Light" w:ascii="Cambria" w:hAnsi="Cambria"/>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asciiTheme="majorHAnsi" w:hAnsiTheme="majorHAnsi"/>
          <w:b/>
          <w:sz w:val="22"/>
          <w:szCs w:val="22"/>
        </w:rPr>
        <w:t>ZATWIERDZAM:</w:t>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jc w:val="right"/>
        <w:rPr>
          <w:rFonts w:ascii="Cambria" w:hAnsi="Cambria" w:cs="Calibri Light" w:asciiTheme="majorHAnsi" w:hAnsiTheme="majorHAnsi"/>
          <w:b/>
          <w:b/>
          <w:sz w:val="22"/>
          <w:szCs w:val="22"/>
        </w:rPr>
      </w:pPr>
      <w:r>
        <w:rPr>
          <w:rFonts w:cs="Calibri Light" w:ascii="Cambria" w:hAnsi="Cambria"/>
          <w:b/>
          <w:sz w:val="22"/>
          <w:szCs w:val="22"/>
        </w:rPr>
      </w:r>
    </w:p>
    <w:p>
      <w:pPr>
        <w:pStyle w:val="Normal"/>
        <w:spacing w:lineRule="auto" w:line="240" w:before="0" w:after="0"/>
        <w:jc w:val="center"/>
        <w:rPr>
          <w:rFonts w:ascii="Times New Roman" w:hAnsi="Times New Roman" w:cs="Times New Roman"/>
          <w:b/>
          <w:b/>
          <w:bCs/>
          <w:sz w:val="22"/>
          <w:szCs w:val="22"/>
        </w:rPr>
      </w:pPr>
      <w:r>
        <w:rPr>
          <w:rFonts w:cs="Times New Roman"/>
          <w:b/>
          <w:bCs/>
          <w:sz w:val="22"/>
          <w:szCs w:val="22"/>
        </w:rPr>
      </w:r>
    </w:p>
    <w:p>
      <w:pPr>
        <w:pStyle w:val="Normal"/>
        <w:spacing w:lineRule="auto" w:line="240" w:before="0" w:after="0"/>
        <w:jc w:val="center"/>
        <w:rPr>
          <w:rFonts w:ascii="Times New Roman" w:hAnsi="Times New Roman" w:cs="Times New Roman"/>
          <w:b/>
          <w:b/>
          <w:bCs/>
          <w:sz w:val="22"/>
          <w:szCs w:val="22"/>
        </w:rPr>
      </w:pPr>
      <w:r>
        <w:rPr>
          <w:rFonts w:cs="Times New Roman"/>
          <w:b/>
          <w:bCs/>
          <w:sz w:val="22"/>
          <w:szCs w:val="22"/>
        </w:rPr>
      </w:r>
    </w:p>
    <w:p>
      <w:pPr>
        <w:pStyle w:val="Normal"/>
        <w:spacing w:lineRule="auto" w:line="240" w:before="0" w:after="0"/>
        <w:jc w:val="center"/>
        <w:rPr>
          <w:rFonts w:ascii="Times New Roman" w:hAnsi="Times New Roman" w:cs="Times New Roman"/>
          <w:b/>
          <w:b/>
          <w:bCs/>
          <w:sz w:val="22"/>
          <w:szCs w:val="22"/>
        </w:rPr>
      </w:pPr>
      <w:r>
        <w:rPr>
          <w:rFonts w:cs="Times New Roman"/>
          <w:b/>
          <w:bCs/>
          <w:sz w:val="22"/>
          <w:szCs w:val="22"/>
        </w:rPr>
      </w:r>
    </w:p>
    <w:p>
      <w:pPr>
        <w:pStyle w:val="Normal"/>
        <w:spacing w:lineRule="auto" w:line="240" w:before="0" w:after="0"/>
        <w:jc w:val="center"/>
        <w:rPr>
          <w:rFonts w:ascii="Times New Roman" w:hAnsi="Times New Roman" w:cs="Times New Roman"/>
          <w:b/>
          <w:b/>
          <w:bCs/>
          <w:sz w:val="22"/>
          <w:szCs w:val="22"/>
        </w:rPr>
      </w:pPr>
      <w:r>
        <w:rPr>
          <w:rFonts w:cs="Times New Roman"/>
          <w:b/>
          <w:bCs/>
          <w:sz w:val="22"/>
          <w:szCs w:val="22"/>
        </w:rPr>
      </w:r>
    </w:p>
    <w:p>
      <w:pPr>
        <w:pStyle w:val="Normal"/>
        <w:spacing w:lineRule="auto" w:line="240" w:before="0" w:after="0"/>
        <w:rPr>
          <w:sz w:val="22"/>
          <w:szCs w:val="22"/>
        </w:rPr>
      </w:pPr>
      <w:r>
        <w:rPr>
          <w:sz w:val="22"/>
          <w:szCs w:val="22"/>
        </w:rPr>
      </w:r>
    </w:p>
    <w:p>
      <w:pPr>
        <w:pStyle w:val="Normal"/>
        <w:spacing w:lineRule="auto" w:line="240" w:before="0" w:after="0"/>
        <w:rPr>
          <w:sz w:val="22"/>
          <w:szCs w:val="22"/>
        </w:rPr>
      </w:pPr>
      <w:r>
        <w:rPr>
          <w:sz w:val="22"/>
          <w:szCs w:val="22"/>
        </w:rPr>
      </w:r>
    </w:p>
    <w:p>
      <w:pPr>
        <w:pStyle w:val="Normal"/>
        <w:spacing w:lineRule="auto" w:line="240" w:before="0" w:after="0"/>
        <w:rPr>
          <w:sz w:val="22"/>
          <w:szCs w:val="22"/>
        </w:rPr>
      </w:pPr>
      <w:r>
        <w:rPr>
          <w:sz w:val="22"/>
          <w:szCs w:val="22"/>
        </w:rPr>
      </w:r>
    </w:p>
    <w:p>
      <w:pPr>
        <w:pStyle w:val="Normal"/>
        <w:spacing w:lineRule="auto" w:line="240" w:before="0" w:after="0"/>
        <w:rPr>
          <w:sz w:val="22"/>
          <w:szCs w:val="22"/>
        </w:rPr>
      </w:pPr>
      <w:r>
        <w:rPr>
          <w:sz w:val="22"/>
          <w:szCs w:val="22"/>
        </w:rPr>
      </w:r>
    </w:p>
    <w:p>
      <w:pPr>
        <w:pStyle w:val="Normal"/>
        <w:spacing w:lineRule="auto" w:line="240" w:before="0" w:after="0"/>
        <w:rPr>
          <w:sz w:val="22"/>
          <w:szCs w:val="22"/>
        </w:rPr>
      </w:pPr>
      <w:r>
        <w:rPr>
          <w:sz w:val="22"/>
          <w:szCs w:val="22"/>
        </w:rPr>
      </w:r>
    </w:p>
    <w:p>
      <w:pPr>
        <w:pStyle w:val="Normal"/>
        <w:spacing w:lineRule="auto" w:line="240" w:before="0" w:after="0"/>
        <w:rPr>
          <w:sz w:val="22"/>
          <w:szCs w:val="22"/>
        </w:rPr>
      </w:pPr>
      <w:r>
        <w:rPr>
          <w:sz w:val="22"/>
          <w:szCs w:val="22"/>
        </w:rPr>
      </w:r>
    </w:p>
    <w:p>
      <w:pPr>
        <w:pStyle w:val="Normal"/>
        <w:spacing w:lineRule="auto" w:line="240" w:before="0" w:after="0"/>
        <w:rPr>
          <w:sz w:val="22"/>
          <w:szCs w:val="22"/>
        </w:rPr>
      </w:pPr>
      <w:r>
        <w:rPr>
          <w:sz w:val="22"/>
          <w:szCs w:val="22"/>
        </w:rPr>
      </w:r>
    </w:p>
    <w:p>
      <w:pPr>
        <w:sectPr>
          <w:footerReference w:type="default" r:id="rId5"/>
          <w:type w:val="nextPage"/>
          <w:pgSz w:w="11906" w:h="16838"/>
          <w:pgMar w:left="1417" w:right="1417" w:header="0" w:top="1134" w:footer="708" w:bottom="993" w:gutter="0"/>
          <w:pgNumType w:fmt="decimal"/>
          <w:formProt w:val="false"/>
          <w:textDirection w:val="lrTb"/>
          <w:docGrid w:type="default" w:linePitch="360" w:charSpace="0"/>
        </w:sectPr>
        <w:pStyle w:val="Normal"/>
        <w:spacing w:lineRule="auto" w:line="240" w:before="0" w:after="0"/>
        <w:rPr>
          <w:sz w:val="22"/>
          <w:szCs w:val="22"/>
        </w:rPr>
      </w:pPr>
      <w:r>
        <w:rPr>
          <w:sz w:val="22"/>
          <w:szCs w:val="22"/>
        </w:rPr>
      </w:r>
    </w:p>
    <w:p>
      <w:pPr>
        <w:pStyle w:val="Normal"/>
        <w:spacing w:lineRule="auto" w:line="360" w:before="0" w:after="0"/>
        <w:ind w:left="0" w:right="0" w:hanging="0"/>
        <w:jc w:val="right"/>
        <w:rPr>
          <w:sz w:val="24"/>
          <w:szCs w:val="24"/>
        </w:rPr>
      </w:pPr>
      <w:r>
        <w:rPr>
          <w:b/>
          <w:bCs/>
          <w:sz w:val="24"/>
          <w:szCs w:val="24"/>
        </w:rPr>
        <w:t xml:space="preserve">Załącznik nr 1 do </w:t>
      </w:r>
      <w:r>
        <w:rPr>
          <w:rFonts w:eastAsia="Times New Roman" w:cs="Times New Roman"/>
          <w:b/>
          <w:bCs/>
          <w:color w:val="auto"/>
          <w:kern w:val="0"/>
          <w:sz w:val="24"/>
          <w:szCs w:val="24"/>
          <w:lang w:val="pl-PL" w:eastAsia="pl-PL" w:bidi="ar-SA"/>
        </w:rPr>
        <w:t>zapytania ofertowego</w:t>
      </w:r>
      <w:r>
        <w:rPr>
          <w:b/>
          <w:bCs/>
          <w:sz w:val="24"/>
          <w:szCs w:val="24"/>
        </w:rPr>
        <w:t xml:space="preserve"> nr</w:t>
      </w:r>
      <w:r>
        <w:rPr>
          <w:sz w:val="24"/>
          <w:szCs w:val="24"/>
        </w:rPr>
        <w:t xml:space="preserve"> </w:t>
      </w:r>
      <w:r>
        <w:rPr>
          <w:b/>
          <w:sz w:val="22"/>
          <w:szCs w:val="22"/>
        </w:rPr>
        <w:t>WRIK.</w:t>
      </w:r>
      <w:r>
        <w:rPr>
          <w:rFonts w:cs="Calibri Light" w:ascii="Cambria" w:hAnsi="Cambria" w:asciiTheme="majorHAnsi" w:hAnsiTheme="majorHAnsi"/>
          <w:b/>
          <w:color w:val="000000"/>
          <w:sz w:val="22"/>
          <w:szCs w:val="22"/>
        </w:rPr>
        <w:t>271.2.15.2022.ZP</w:t>
      </w:r>
    </w:p>
    <w:p>
      <w:pPr>
        <w:pStyle w:val="Normal"/>
        <w:spacing w:lineRule="auto" w:line="360" w:before="0" w:after="0"/>
        <w:ind w:left="0" w:right="0" w:hanging="0"/>
        <w:jc w:val="right"/>
        <w:rPr>
          <w:sz w:val="24"/>
          <w:szCs w:val="24"/>
        </w:rPr>
      </w:pPr>
      <w:r>
        <w:rPr>
          <w:sz w:val="24"/>
          <w:szCs w:val="24"/>
        </w:rPr>
      </w:r>
    </w:p>
    <w:p>
      <w:pPr>
        <w:pStyle w:val="Normal"/>
        <w:spacing w:lineRule="auto" w:line="360" w:before="0" w:after="0"/>
        <w:ind w:left="0" w:right="0" w:firstLine="360"/>
        <w:jc w:val="center"/>
        <w:rPr>
          <w:b/>
          <w:b/>
          <w:i/>
          <w:i/>
          <w:sz w:val="24"/>
          <w:szCs w:val="24"/>
        </w:rPr>
      </w:pPr>
      <w:r>
        <w:rPr>
          <w:b/>
          <w:i/>
          <w:sz w:val="24"/>
          <w:szCs w:val="24"/>
        </w:rPr>
        <w:t>Szczegółowy opis przedmiotu zamówienia</w:t>
      </w:r>
    </w:p>
    <w:p>
      <w:pPr>
        <w:pStyle w:val="Normal"/>
        <w:jc w:val="center"/>
        <w:rPr>
          <w:b/>
          <w:b/>
        </w:rPr>
      </w:pPr>
      <w:r>
        <w:rPr>
          <w:b/>
        </w:rPr>
      </w:r>
    </w:p>
    <w:p>
      <w:pPr>
        <w:pStyle w:val="Normal"/>
        <w:jc w:val="center"/>
        <w:rPr>
          <w:b/>
          <w:b/>
        </w:rPr>
      </w:pPr>
      <w:r>
        <w:rPr>
          <w:b/>
        </w:rPr>
      </w:r>
    </w:p>
    <w:p>
      <w:pPr>
        <w:pStyle w:val="Normal"/>
        <w:widowControl w:val="false"/>
        <w:jc w:val="center"/>
        <w:rPr>
          <w:rFonts w:eastAsia="Calibri"/>
          <w:b/>
          <w:b/>
          <w:sz w:val="28"/>
          <w:szCs w:val="28"/>
        </w:rPr>
      </w:pPr>
      <w:r>
        <w:rPr>
          <w:rFonts w:eastAsia="Calibri"/>
          <w:b/>
          <w:sz w:val="28"/>
          <w:szCs w:val="28"/>
        </w:rPr>
        <w:t>OPIS PRZEDMIOTU ZAMÓWIENIA</w:t>
      </w:r>
    </w:p>
    <w:p>
      <w:pPr>
        <w:pStyle w:val="Normal"/>
        <w:widowControl w:val="false"/>
        <w:jc w:val="center"/>
        <w:rPr>
          <w:rFonts w:eastAsia="Calibri"/>
          <w:b/>
          <w:b/>
          <w:sz w:val="28"/>
          <w:szCs w:val="28"/>
        </w:rPr>
      </w:pPr>
      <w:r>
        <w:rPr>
          <w:rFonts w:eastAsia="Calibri"/>
          <w:b/>
          <w:sz w:val="28"/>
          <w:szCs w:val="28"/>
        </w:rPr>
      </w:r>
    </w:p>
    <w:p>
      <w:pPr>
        <w:pStyle w:val="Normal"/>
        <w:widowControl w:val="false"/>
        <w:jc w:val="center"/>
        <w:rPr>
          <w:rFonts w:eastAsia="Calibri"/>
          <w:b/>
          <w:b/>
          <w:sz w:val="28"/>
          <w:szCs w:val="28"/>
        </w:rPr>
      </w:pPr>
      <w:r>
        <w:rPr>
          <w:rFonts w:eastAsia="Calibri"/>
          <w:b/>
          <w:sz w:val="28"/>
          <w:szCs w:val="28"/>
        </w:rPr>
      </w:r>
    </w:p>
    <w:p>
      <w:pPr>
        <w:pStyle w:val="Normal"/>
        <w:widowControl w:val="false"/>
        <w:jc w:val="center"/>
        <w:rPr>
          <w:rFonts w:eastAsia="Calibri"/>
          <w:b/>
          <w:b/>
          <w:sz w:val="28"/>
          <w:szCs w:val="28"/>
        </w:rPr>
      </w:pPr>
      <w:r>
        <w:rPr>
          <w:rFonts w:eastAsia="Calibri"/>
          <w:b/>
          <w:sz w:val="28"/>
          <w:szCs w:val="28"/>
        </w:rPr>
      </w:r>
    </w:p>
    <w:p>
      <w:pPr>
        <w:pStyle w:val="Normal"/>
        <w:widowControl w:val="false"/>
        <w:jc w:val="center"/>
        <w:rPr>
          <w:rFonts w:eastAsia="Calibri"/>
          <w:sz w:val="28"/>
          <w:szCs w:val="28"/>
        </w:rPr>
      </w:pPr>
      <w:r>
        <w:rPr>
          <w:rFonts w:eastAsia="Calibri"/>
          <w:sz w:val="28"/>
          <w:szCs w:val="28"/>
        </w:rPr>
        <w:t xml:space="preserve">dot. postępowania </w:t>
        <w:br/>
        <w:t>o udzielenie zamówienia publicznego pn.:</w:t>
      </w:r>
    </w:p>
    <w:p>
      <w:pPr>
        <w:pStyle w:val="Normal"/>
        <w:jc w:val="center"/>
        <w:rPr>
          <w:rFonts w:eastAsia="Calibri"/>
          <w:b/>
          <w:b/>
          <w:sz w:val="28"/>
          <w:szCs w:val="28"/>
        </w:rPr>
      </w:pPr>
      <w:r>
        <w:rPr>
          <w:rFonts w:eastAsia="Calibri"/>
          <w:b/>
          <w:sz w:val="28"/>
          <w:szCs w:val="28"/>
        </w:rPr>
      </w:r>
    </w:p>
    <w:p>
      <w:pPr>
        <w:pStyle w:val="Normal"/>
        <w:spacing w:lineRule="auto" w:line="360" w:before="0" w:after="280"/>
        <w:jc w:val="center"/>
        <w:rPr>
          <w:sz w:val="22"/>
          <w:szCs w:val="22"/>
        </w:rPr>
      </w:pPr>
      <w:r>
        <w:rPr>
          <w:b/>
          <w:bCs/>
          <w:sz w:val="28"/>
          <w:szCs w:val="28"/>
        </w:rPr>
        <w:t>Z</w:t>
      </w:r>
      <w:r>
        <w:rPr>
          <w:b/>
          <w:sz w:val="28"/>
          <w:szCs w:val="28"/>
        </w:rPr>
        <w:t>akup, dostawa i montaż cyfrowego systemu do obsługi  Sali Obrad Urzędu Miasta w Tomaszowie Mazowieckim składającego się z:</w:t>
      </w:r>
    </w:p>
    <w:p>
      <w:pPr>
        <w:pStyle w:val="Normal"/>
        <w:spacing w:lineRule="auto" w:line="240" w:before="0" w:after="0"/>
        <w:jc w:val="center"/>
        <w:rPr>
          <w:b/>
          <w:b/>
          <w:sz w:val="28"/>
          <w:szCs w:val="28"/>
        </w:rPr>
      </w:pPr>
      <w:r>
        <w:rPr>
          <w:b/>
          <w:sz w:val="28"/>
          <w:szCs w:val="28"/>
        </w:rPr>
        <w:t>wysokiej jakości systemu transmisyjnego, wizualnego, tj. kamer, oprogramowania sterującego, miksera programowego, stacji roboczej do sterowania systemem.</w:t>
      </w:r>
    </w:p>
    <w:p>
      <w:pPr>
        <w:pStyle w:val="Normal"/>
        <w:jc w:val="center"/>
        <w:rPr>
          <w:b/>
          <w:b/>
          <w:sz w:val="28"/>
          <w:szCs w:val="28"/>
        </w:rPr>
      </w:pPr>
      <w:r>
        <w:rPr>
          <w:b/>
          <w:sz w:val="28"/>
          <w:szCs w:val="28"/>
        </w:rPr>
      </w:r>
    </w:p>
    <w:p>
      <w:pPr>
        <w:pStyle w:val="Normal"/>
        <w:jc w:val="center"/>
        <w:rPr>
          <w:rFonts w:eastAsia="Calibri"/>
          <w:b/>
          <w:b/>
          <w:i/>
          <w:i/>
          <w:iCs/>
          <w:sz w:val="28"/>
          <w:szCs w:val="28"/>
        </w:rPr>
      </w:pPr>
      <w:r>
        <w:rPr>
          <w:rFonts w:eastAsia="Calibri"/>
          <w:b/>
          <w:i/>
          <w:iCs/>
          <w:sz w:val="28"/>
          <w:szCs w:val="28"/>
        </w:rPr>
      </w:r>
    </w:p>
    <w:p>
      <w:pPr>
        <w:pStyle w:val="Normal"/>
        <w:jc w:val="center"/>
        <w:rPr>
          <w:rFonts w:eastAsia="Calibri"/>
          <w:i/>
          <w:i/>
          <w:iCs/>
          <w:sz w:val="28"/>
          <w:szCs w:val="28"/>
        </w:rPr>
      </w:pPr>
      <w:r>
        <w:rPr>
          <w:rFonts w:eastAsia="Calibri"/>
          <w:i/>
          <w:iCs/>
          <w:sz w:val="28"/>
          <w:szCs w:val="28"/>
        </w:rPr>
      </w:r>
    </w:p>
    <w:p>
      <w:pPr>
        <w:pStyle w:val="Normal"/>
        <w:jc w:val="center"/>
        <w:rPr>
          <w:rFonts w:eastAsia="Calibri"/>
          <w:i/>
          <w:i/>
          <w:iCs/>
          <w:sz w:val="28"/>
          <w:szCs w:val="28"/>
        </w:rPr>
      </w:pPr>
      <w:r>
        <w:rPr>
          <w:rFonts w:eastAsia="Calibri"/>
          <w:i/>
          <w:iCs/>
          <w:sz w:val="28"/>
          <w:szCs w:val="28"/>
        </w:rPr>
      </w:r>
    </w:p>
    <w:p>
      <w:pPr>
        <w:pStyle w:val="Normal"/>
        <w:jc w:val="center"/>
        <w:rPr>
          <w:rFonts w:eastAsia="Calibri"/>
          <w:i/>
          <w:i/>
          <w:iCs/>
          <w:sz w:val="28"/>
          <w:szCs w:val="28"/>
        </w:rPr>
      </w:pPr>
      <w:r>
        <w:rPr>
          <w:rFonts w:eastAsia="Calibri"/>
          <w:i/>
          <w:iCs/>
          <w:sz w:val="28"/>
          <w:szCs w:val="28"/>
        </w:rPr>
      </w:r>
    </w:p>
    <w:p>
      <w:pPr>
        <w:pStyle w:val="Normal"/>
        <w:jc w:val="center"/>
        <w:rPr>
          <w:rFonts w:eastAsia="Calibri"/>
          <w:i/>
          <w:i/>
          <w:iCs/>
          <w:sz w:val="28"/>
          <w:szCs w:val="28"/>
        </w:rPr>
      </w:pPr>
      <w:r>
        <w:rPr>
          <w:rFonts w:eastAsia="Calibri"/>
          <w:i/>
          <w:iCs/>
          <w:sz w:val="28"/>
          <w:szCs w:val="28"/>
        </w:rPr>
      </w:r>
    </w:p>
    <w:p>
      <w:pPr>
        <w:pStyle w:val="Normal"/>
        <w:jc w:val="center"/>
        <w:rPr>
          <w:rFonts w:eastAsia="Calibri"/>
          <w:i/>
          <w:i/>
          <w:iCs/>
          <w:sz w:val="28"/>
          <w:szCs w:val="28"/>
        </w:rPr>
      </w:pPr>
      <w:r>
        <w:rPr>
          <w:rFonts w:eastAsia="Calibri"/>
          <w:i/>
          <w:iCs/>
          <w:sz w:val="28"/>
          <w:szCs w:val="28"/>
        </w:rPr>
      </w:r>
      <w:r>
        <w:br w:type="page"/>
      </w:r>
    </w:p>
    <w:p>
      <w:pPr>
        <w:pStyle w:val="Normal"/>
        <w:rPr>
          <w:rFonts w:eastAsia="Calibri"/>
          <w:i/>
          <w:i/>
          <w:iCs/>
          <w:sz w:val="28"/>
          <w:szCs w:val="28"/>
        </w:rPr>
      </w:pPr>
      <w:r>
        <w:rPr>
          <w:rFonts w:eastAsia="Calibri"/>
          <w:i/>
          <w:iCs/>
          <w:sz w:val="28"/>
          <w:szCs w:val="28"/>
        </w:rPr>
      </w:r>
    </w:p>
    <w:p>
      <w:pPr>
        <w:pStyle w:val="Normal"/>
        <w:jc w:val="center"/>
        <w:rPr>
          <w:rFonts w:eastAsia="Calibri"/>
          <w:i/>
          <w:i/>
          <w:iCs/>
          <w:sz w:val="28"/>
          <w:szCs w:val="28"/>
        </w:rPr>
      </w:pPr>
      <w:r>
        <w:rPr>
          <w:rFonts w:eastAsia="Calibri"/>
          <w:i/>
          <w:iCs/>
          <w:sz w:val="28"/>
          <w:szCs w:val="28"/>
        </w:rPr>
      </w:r>
    </w:p>
    <w:p>
      <w:pPr>
        <w:pStyle w:val="Normal"/>
        <w:jc w:val="center"/>
        <w:rPr>
          <w:rFonts w:eastAsia="Calibri"/>
          <w:b/>
          <w:b/>
          <w:iCs/>
          <w:sz w:val="28"/>
          <w:szCs w:val="28"/>
        </w:rPr>
      </w:pPr>
      <w:r>
        <w:rPr>
          <w:rFonts w:eastAsia="Calibri"/>
          <w:b/>
          <w:iCs/>
          <w:sz w:val="28"/>
          <w:szCs w:val="28"/>
        </w:rPr>
        <w:t>Wstęp</w:t>
      </w:r>
    </w:p>
    <w:p>
      <w:pPr>
        <w:pStyle w:val="Normal"/>
        <w:jc w:val="center"/>
        <w:rPr>
          <w:rFonts w:eastAsia="Calibri"/>
          <w:b/>
          <w:b/>
          <w:i/>
          <w:i/>
          <w:iCs/>
          <w:sz w:val="28"/>
          <w:szCs w:val="28"/>
        </w:rPr>
      </w:pPr>
      <w:r>
        <w:rPr>
          <w:rFonts w:eastAsia="Calibri"/>
          <w:b/>
          <w:i/>
          <w:iCs/>
          <w:sz w:val="28"/>
          <w:szCs w:val="28"/>
        </w:rPr>
      </w:r>
    </w:p>
    <w:p>
      <w:pPr>
        <w:pStyle w:val="Normal"/>
        <w:jc w:val="center"/>
        <w:rPr>
          <w:rFonts w:eastAsia="Calibri"/>
          <w:sz w:val="28"/>
          <w:szCs w:val="28"/>
        </w:rPr>
      </w:pPr>
      <w:r>
        <w:rPr>
          <w:rFonts w:eastAsia="Calibri"/>
          <w:sz w:val="28"/>
          <w:szCs w:val="28"/>
        </w:rPr>
        <w:t xml:space="preserve">Celem zamówienia jest wyposażenie przestrzeni Sali Obrad Urzędu Miasta w Tomaszowie Mazowieckim w ramach zadania: </w:t>
      </w:r>
    </w:p>
    <w:p>
      <w:pPr>
        <w:pStyle w:val="Normal"/>
        <w:jc w:val="center"/>
        <w:rPr>
          <w:rFonts w:eastAsia="Calibri"/>
          <w:b/>
          <w:b/>
          <w:sz w:val="28"/>
          <w:szCs w:val="28"/>
        </w:rPr>
      </w:pPr>
      <w:r>
        <w:rPr>
          <w:rFonts w:eastAsia="Calibri"/>
          <w:b/>
          <w:sz w:val="28"/>
          <w:szCs w:val="28"/>
        </w:rPr>
      </w:r>
    </w:p>
    <w:p>
      <w:pPr>
        <w:pStyle w:val="Normal"/>
        <w:jc w:val="center"/>
        <w:rPr>
          <w:sz w:val="22"/>
          <w:szCs w:val="22"/>
        </w:rPr>
      </w:pPr>
      <w:r>
        <w:rPr>
          <w:b/>
          <w:sz w:val="28"/>
          <w:szCs w:val="28"/>
        </w:rPr>
        <w:t>„</w:t>
      </w:r>
      <w:r>
        <w:rPr>
          <w:rFonts w:eastAsia="Times New Roman" w:cs="Times New Roman"/>
          <w:b/>
          <w:color w:val="auto"/>
          <w:kern w:val="0"/>
          <w:sz w:val="28"/>
          <w:szCs w:val="28"/>
          <w:lang w:val="pl-PL" w:eastAsia="pl-PL" w:bidi="ar-SA"/>
        </w:rPr>
        <w:t>Zakup urządzeń związanych z komunikacją online systemu wizualnego</w:t>
      </w:r>
      <w:r>
        <w:rPr>
          <w:b/>
          <w:color w:val="000000"/>
          <w:sz w:val="28"/>
          <w:szCs w:val="28"/>
        </w:rPr>
        <w:t>”</w:t>
      </w:r>
    </w:p>
    <w:p>
      <w:pPr>
        <w:pStyle w:val="Normal"/>
        <w:jc w:val="center"/>
        <w:rPr>
          <w:rFonts w:eastAsia="Calibri"/>
          <w:b/>
          <w:b/>
          <w:color w:val="000000"/>
          <w:sz w:val="28"/>
          <w:szCs w:val="28"/>
        </w:rPr>
      </w:pPr>
      <w:r>
        <w:rPr>
          <w:rFonts w:eastAsia="Calibri"/>
          <w:b/>
          <w:color w:val="000000"/>
          <w:sz w:val="28"/>
          <w:szCs w:val="28"/>
        </w:rPr>
      </w:r>
    </w:p>
    <w:p>
      <w:pPr>
        <w:pStyle w:val="NormalnyWeb"/>
        <w:jc w:val="both"/>
        <w:rPr>
          <w:rFonts w:ascii="Times New Roman" w:hAnsi="Times New Roman"/>
        </w:rPr>
      </w:pPr>
      <w:r>
        <w:rPr>
          <w:rFonts w:cs="Calibri"/>
          <w:color w:val="000000"/>
        </w:rPr>
        <w:t>Wyposażana Sala jest pod opieką Wojewódzkiego Konserwatora Zabytków. Należy dokonać niezbędnych starań aby cały instalowany sprzęt spełniał warunki użytkowania w obiekcie zabytkowym. Ponadto w toku przygotowań do postępowania przygotowano spis kolorów obowiązujących w Sali: kolor podstawowy - NCS S 0510-Y, gzymsy nad drzwiami na ścianach poprzecznych - NCS S 2030-Y20R, sufit poza spodem rygli - NCS S 0502-Y.</w:t>
      </w:r>
    </w:p>
    <w:p>
      <w:pPr>
        <w:pStyle w:val="Normal"/>
        <w:rPr>
          <w:rFonts w:ascii="Times New Roman" w:hAnsi="Times New Roman" w:cs="Calibri"/>
          <w:color w:val="000000"/>
        </w:rPr>
      </w:pPr>
      <w:r>
        <w:rPr>
          <w:rFonts w:cs="Calibri"/>
          <w:color w:val="000000"/>
        </w:rPr>
      </w:r>
    </w:p>
    <w:p>
      <w:pPr>
        <w:pStyle w:val="Normal"/>
        <w:jc w:val="both"/>
        <w:rPr>
          <w:rFonts w:eastAsia="Calibri"/>
          <w:sz w:val="24"/>
          <w:szCs w:val="24"/>
        </w:rPr>
      </w:pPr>
      <w:r>
        <w:rPr>
          <w:rFonts w:eastAsia="Calibri"/>
          <w:sz w:val="24"/>
          <w:szCs w:val="24"/>
        </w:rPr>
        <w:t>Dostarczone urządzenia muszą być fabrycznie nowe. Wykonawca wykona i dostarczy dokumentację powykonawczą opracowaną w języku polskim. Wykonawca dostarczy oryginalną dokumentację techniczną producenta (obejmującą instrukcje obsługi, instalacyjne) opracowaną w języku polskim lub angielskim dla każdego dostarczonego urządzenia. Wykonawca skonfiguruje, zintegruje, połączy i uruchomi wszystkie elementy dostarczonych urządzeń i wyposażenia w sposób zapewniający wymaganą funkcjonalność, estetykę i bezpieczeństwo użytkowania oraz wykona niezbędne instalacje i przyłącza.</w:t>
      </w:r>
    </w:p>
    <w:p>
      <w:pPr>
        <w:pStyle w:val="Normal"/>
        <w:rPr>
          <w:rFonts w:eastAsia="Calibri"/>
          <w:sz w:val="24"/>
          <w:szCs w:val="24"/>
        </w:rPr>
      </w:pPr>
      <w:r>
        <w:rPr>
          <w:rFonts w:eastAsia="Calibri"/>
          <w:sz w:val="24"/>
          <w:szCs w:val="24"/>
        </w:rPr>
        <w:t>Zamawiający dopuszcza łączenie opisanych funkcji w jednym urządzeniu lub rozłączanie ich do wielu urządzeń spełniających opisane funkcjonalności.</w:t>
      </w:r>
    </w:p>
    <w:p>
      <w:pPr>
        <w:pStyle w:val="Normal"/>
        <w:rPr>
          <w:rFonts w:eastAsia="Arial Unicode MS"/>
          <w:sz w:val="24"/>
          <w:szCs w:val="24"/>
        </w:rPr>
      </w:pPr>
      <w:r>
        <w:rPr>
          <w:rFonts w:eastAsia="Arial Unicode MS"/>
          <w:sz w:val="24"/>
          <w:szCs w:val="24"/>
        </w:rPr>
      </w:r>
    </w:p>
    <w:p>
      <w:pPr>
        <w:pStyle w:val="Normal"/>
        <w:jc w:val="both"/>
        <w:rPr>
          <w:b/>
          <w:b/>
          <w:sz w:val="24"/>
          <w:szCs w:val="24"/>
          <w:lang w:eastAsia="pl-PL"/>
        </w:rPr>
      </w:pPr>
      <w:r>
        <w:rPr>
          <w:b/>
          <w:sz w:val="24"/>
          <w:szCs w:val="24"/>
          <w:lang w:eastAsia="pl-PL"/>
        </w:rPr>
        <w:t>Wykonawca zobligowany jest do dostarczenia, montażu i uruchomienia przedmiotu zamówienia w ciągu 60 dni od podpisania umowy.</w:t>
      </w:r>
      <w:r>
        <w:br w:type="page"/>
      </w:r>
    </w:p>
    <w:p>
      <w:pPr>
        <w:pStyle w:val="Normal"/>
        <w:rPr>
          <w:b/>
          <w:b/>
          <w:sz w:val="20"/>
          <w:szCs w:val="20"/>
          <w:lang w:eastAsia="pl-PL"/>
        </w:rPr>
      </w:pPr>
      <w:r>
        <w:rPr>
          <w:b/>
          <w:sz w:val="20"/>
          <w:szCs w:val="20"/>
          <w:lang w:eastAsia="pl-PL"/>
        </w:rPr>
      </w:r>
    </w:p>
    <w:p>
      <w:pPr>
        <w:pStyle w:val="Nagwek2"/>
        <w:keepLines/>
        <w:numPr>
          <w:ilvl w:val="1"/>
          <w:numId w:val="2"/>
        </w:numPr>
        <w:spacing w:before="600" w:after="120"/>
        <w:ind w:left="1134" w:right="0" w:hanging="708"/>
        <w:rPr>
          <w:rFonts w:ascii="Times New Roman" w:hAnsi="Times New Roman"/>
        </w:rPr>
      </w:pPr>
      <w:r>
        <w:rPr>
          <w:rFonts w:cs="Calibri" w:ascii="Times New Roman" w:hAnsi="Times New Roman"/>
          <w:sz w:val="24"/>
          <w:szCs w:val="24"/>
        </w:rPr>
        <w:t>Wykaz sprzętu wchodzącego w zakres postępowania:</w:t>
      </w:r>
    </w:p>
    <w:p>
      <w:pPr>
        <w:pStyle w:val="Akapitzlist"/>
        <w:numPr>
          <w:ilvl w:val="0"/>
          <w:numId w:val="20"/>
        </w:numPr>
        <w:spacing w:lineRule="auto" w:line="240" w:before="0" w:after="0"/>
        <w:contextualSpacing/>
        <w:rPr>
          <w:rFonts w:ascii="Times New Roman" w:hAnsi="Times New Roman"/>
        </w:rPr>
      </w:pPr>
      <w:r>
        <w:rPr>
          <w:rFonts w:cs="Calibri"/>
          <w:b/>
          <w:bCs/>
        </w:rPr>
        <w:t>Zdalnie sterowana telewizyjna kamera PTZ</w:t>
      </w:r>
      <w:r>
        <w:rPr>
          <w:rFonts w:cs="Calibri"/>
          <w:bCs/>
        </w:rPr>
        <w:t>–3 sztuki</w:t>
      </w:r>
    </w:p>
    <w:p>
      <w:pPr>
        <w:pStyle w:val="Akapitzlist"/>
        <w:numPr>
          <w:ilvl w:val="0"/>
          <w:numId w:val="20"/>
        </w:numPr>
        <w:spacing w:lineRule="auto" w:line="240" w:before="0" w:after="0"/>
        <w:contextualSpacing/>
        <w:rPr>
          <w:rFonts w:ascii="Times New Roman" w:hAnsi="Times New Roman"/>
        </w:rPr>
      </w:pPr>
      <w:r>
        <w:rPr>
          <w:rFonts w:cs="Calibri"/>
          <w:b/>
        </w:rPr>
        <w:t>Stacja robocza do sterowania systemem</w:t>
      </w:r>
      <w:r>
        <w:rPr>
          <w:rFonts w:cs="Calibri"/>
        </w:rPr>
        <w:t>–1 sztuka</w:t>
      </w:r>
    </w:p>
    <w:p>
      <w:pPr>
        <w:pStyle w:val="Akapitzlist"/>
        <w:numPr>
          <w:ilvl w:val="0"/>
          <w:numId w:val="20"/>
        </w:numPr>
        <w:spacing w:lineRule="auto" w:line="240" w:before="0" w:after="0"/>
        <w:contextualSpacing/>
        <w:rPr>
          <w:rFonts w:ascii="Times New Roman" w:hAnsi="Times New Roman"/>
        </w:rPr>
      </w:pPr>
      <w:r>
        <w:rPr>
          <w:rFonts w:cs="Calibri"/>
          <w:b/>
        </w:rPr>
        <w:t>Karta umożliwiająca przechwytywanie sygnału z kamer</w:t>
      </w:r>
      <w:r>
        <w:rPr>
          <w:rFonts w:cs="Calibri"/>
        </w:rPr>
        <w:t>– 1 sztuka</w:t>
      </w:r>
    </w:p>
    <w:p>
      <w:pPr>
        <w:pStyle w:val="Akapitzlist"/>
        <w:numPr>
          <w:ilvl w:val="0"/>
          <w:numId w:val="20"/>
        </w:numPr>
        <w:spacing w:lineRule="auto" w:line="240" w:before="0" w:after="0"/>
        <w:contextualSpacing/>
        <w:rPr>
          <w:rFonts w:ascii="Times New Roman" w:hAnsi="Times New Roman"/>
        </w:rPr>
      </w:pPr>
      <w:r>
        <w:rPr>
          <w:rFonts w:cs="Calibri"/>
          <w:b/>
        </w:rPr>
        <w:t>Oprogramowanie do sterowania telewizyjnymi kamerami obrotowymi PTZ oraz mikserem wizji/fonii</w:t>
      </w:r>
      <w:r>
        <w:rPr>
          <w:rFonts w:cs="Calibri"/>
        </w:rPr>
        <w:t>– 1 sztuka</w:t>
      </w:r>
    </w:p>
    <w:p>
      <w:pPr>
        <w:pStyle w:val="Akapitzlist"/>
        <w:numPr>
          <w:ilvl w:val="0"/>
          <w:numId w:val="20"/>
        </w:numPr>
        <w:spacing w:lineRule="auto" w:line="240" w:before="0" w:after="0"/>
        <w:contextualSpacing/>
        <w:rPr>
          <w:rFonts w:ascii="Times New Roman" w:hAnsi="Times New Roman"/>
        </w:rPr>
      </w:pPr>
      <w:r>
        <w:rPr>
          <w:rFonts w:cs="Calibri"/>
          <w:b/>
        </w:rPr>
        <w:t xml:space="preserve">Oprogramowanie vMIX 4k upgrade z vMIX SD </w:t>
      </w:r>
      <w:r>
        <w:rPr>
          <w:rFonts w:cs="Calibri"/>
        </w:rPr>
        <w:t>– 1 szt.</w:t>
      </w:r>
    </w:p>
    <w:p>
      <w:pPr>
        <w:pStyle w:val="Nagwek6"/>
        <w:keepNext w:val="true"/>
        <w:keepLines/>
        <w:numPr>
          <w:ilvl w:val="5"/>
          <w:numId w:val="2"/>
        </w:numPr>
        <w:spacing w:before="600" w:after="120"/>
        <w:ind w:left="454" w:right="0" w:hanging="0"/>
        <w:outlineLvl w:val="5"/>
        <w:rPr>
          <w:rFonts w:ascii="Times New Roman" w:hAnsi="Times New Roman"/>
        </w:rPr>
      </w:pPr>
      <w:r>
        <w:rPr>
          <w:rFonts w:cs="Calibri" w:ascii="Times New Roman" w:hAnsi="Times New Roman"/>
          <w:sz w:val="24"/>
          <w:szCs w:val="24"/>
        </w:rPr>
        <w:t>Minimalne parametry urządzeń:</w:t>
      </w:r>
    </w:p>
    <w:p>
      <w:pPr>
        <w:pStyle w:val="Akapitzlist"/>
        <w:numPr>
          <w:ilvl w:val="0"/>
          <w:numId w:val="21"/>
        </w:numPr>
        <w:spacing w:lineRule="auto" w:line="240" w:before="0" w:after="0"/>
        <w:contextualSpacing/>
        <w:jc w:val="both"/>
        <w:rPr>
          <w:rFonts w:ascii="Times New Roman" w:hAnsi="Times New Roman"/>
        </w:rPr>
      </w:pPr>
      <w:r>
        <w:rPr>
          <w:rFonts w:cs="Calibri"/>
          <w:b/>
        </w:rPr>
        <w:t>Zdalnie sterowana telewizyjna kamera PTZ – 3 sztuki</w:t>
      </w:r>
    </w:p>
    <w:p>
      <w:pPr>
        <w:pStyle w:val="Akapitzlist"/>
        <w:jc w:val="both"/>
        <w:rPr>
          <w:rFonts w:ascii="Times New Roman" w:hAnsi="Times New Roman" w:cs="Calibri"/>
          <w:b/>
          <w:b/>
        </w:rPr>
      </w:pPr>
      <w:r>
        <w:rPr>
          <w:rFonts w:cs="Calibri"/>
          <w:b/>
        </w:rPr>
      </w:r>
    </w:p>
    <w:p>
      <w:pPr>
        <w:pStyle w:val="Akapitzlist"/>
        <w:jc w:val="both"/>
        <w:rPr>
          <w:rFonts w:ascii="Times New Roman" w:hAnsi="Times New Roman"/>
        </w:rPr>
      </w:pPr>
      <w:r>
        <w:rPr>
          <w:rFonts w:cs="Calibri"/>
        </w:rPr>
        <w:t>Zrobotyzowana kamera telewizyjna PTZ pracująca w standardzie do 1080p/60 włącznie</w:t>
      </w:r>
    </w:p>
    <w:p>
      <w:pPr>
        <w:pStyle w:val="Akapitzlist"/>
        <w:jc w:val="both"/>
        <w:rPr>
          <w:rFonts w:ascii="Times New Roman" w:hAnsi="Times New Roman"/>
        </w:rPr>
      </w:pPr>
      <w:r>
        <w:rPr>
          <w:rFonts w:cs="Calibri"/>
        </w:rPr>
        <w:t>Specyfikacja:</w:t>
      </w:r>
    </w:p>
    <w:p>
      <w:pPr>
        <w:pStyle w:val="Akapitzlist"/>
        <w:jc w:val="both"/>
        <w:rPr>
          <w:rFonts w:ascii="Times New Roman" w:hAnsi="Times New Roman"/>
        </w:rPr>
      </w:pPr>
      <w:r>
        <w:rPr>
          <w:rFonts w:cs="Calibri"/>
        </w:rPr>
        <w:t>- przetwornik 1/2.8" CMOS</w:t>
      </w:r>
    </w:p>
    <w:p>
      <w:pPr>
        <w:pStyle w:val="Akapitzlist"/>
        <w:jc w:val="both"/>
        <w:rPr>
          <w:rFonts w:ascii="Times New Roman" w:hAnsi="Times New Roman"/>
        </w:rPr>
      </w:pPr>
      <w:r>
        <w:rPr>
          <w:rFonts w:cs="Calibri"/>
        </w:rPr>
        <w:t>- zoom optyczny min. 20x,</w:t>
      </w:r>
    </w:p>
    <w:p>
      <w:pPr>
        <w:pStyle w:val="Akapitzlist"/>
        <w:jc w:val="both"/>
        <w:rPr>
          <w:rFonts w:ascii="Times New Roman" w:hAnsi="Times New Roman"/>
        </w:rPr>
      </w:pPr>
      <w:r>
        <w:rPr>
          <w:rFonts w:cs="Calibri"/>
        </w:rPr>
        <w:t>- obrót w poziomie min. 340 stopni,</w:t>
      </w:r>
    </w:p>
    <w:p>
      <w:pPr>
        <w:pStyle w:val="Akapitzlist"/>
        <w:jc w:val="both"/>
        <w:rPr>
          <w:rFonts w:ascii="Times New Roman" w:hAnsi="Times New Roman"/>
        </w:rPr>
      </w:pPr>
      <w:r>
        <w:rPr>
          <w:rFonts w:cs="Calibri"/>
        </w:rPr>
        <w:t>- obrót w pionie min. 120 stopni,</w:t>
      </w:r>
    </w:p>
    <w:p>
      <w:pPr>
        <w:pStyle w:val="Akapitzlist"/>
        <w:jc w:val="both"/>
        <w:rPr>
          <w:rFonts w:ascii="Times New Roman" w:hAnsi="Times New Roman"/>
        </w:rPr>
      </w:pPr>
      <w:r>
        <w:rPr>
          <w:rFonts w:cs="Calibri"/>
        </w:rPr>
        <w:t>- obsługa protokołu komunikacyjnego min.: IP (LAN) i RS232</w:t>
      </w:r>
    </w:p>
    <w:p>
      <w:pPr>
        <w:pStyle w:val="Akapitzlist"/>
        <w:jc w:val="both"/>
        <w:rPr>
          <w:rFonts w:ascii="Times New Roman" w:hAnsi="Times New Roman"/>
        </w:rPr>
      </w:pPr>
      <w:r>
        <w:rPr>
          <w:rFonts w:cs="Calibri"/>
        </w:rPr>
        <w:t>- sterowanie zgodne z protokołem SONY VISCA i VISCA over IP</w:t>
      </w:r>
    </w:p>
    <w:p>
      <w:pPr>
        <w:pStyle w:val="Akapitzlist"/>
        <w:jc w:val="both"/>
        <w:rPr>
          <w:rFonts w:ascii="Times New Roman" w:hAnsi="Times New Roman"/>
        </w:rPr>
      </w:pPr>
      <w:r>
        <w:rPr>
          <w:rFonts w:cs="Calibri"/>
        </w:rPr>
        <w:t>- obsługa manualnej kontroli parametrów: Gain (wzmocnienie), Iris (przysłona), Shutter (migawka), White Balance (balans bieli), Focus (ostrość).</w:t>
      </w:r>
    </w:p>
    <w:p>
      <w:pPr>
        <w:pStyle w:val="Akapitzlist"/>
        <w:jc w:val="both"/>
        <w:rPr>
          <w:rFonts w:ascii="Times New Roman" w:hAnsi="Times New Roman"/>
        </w:rPr>
      </w:pPr>
      <w:r>
        <w:rPr>
          <w:rFonts w:cs="Calibri"/>
        </w:rPr>
        <w:t>- obsługa standardu NDI/HX –niska latencja, lepsza stabilność I funkcjonalność po LAN</w:t>
      </w:r>
    </w:p>
    <w:p>
      <w:pPr>
        <w:pStyle w:val="Akapitzlist"/>
        <w:jc w:val="both"/>
        <w:rPr>
          <w:rFonts w:ascii="Times New Roman" w:hAnsi="Times New Roman"/>
        </w:rPr>
      </w:pPr>
      <w:r>
        <w:rPr>
          <w:rFonts w:cs="Calibri"/>
        </w:rPr>
        <w:t>- wyjście wideo HD-SDI i HDMI</w:t>
      </w:r>
    </w:p>
    <w:p>
      <w:pPr>
        <w:pStyle w:val="Akapitzlist"/>
        <w:jc w:val="both"/>
        <w:rPr>
          <w:rFonts w:ascii="Times New Roman" w:hAnsi="Times New Roman"/>
        </w:rPr>
      </w:pPr>
      <w:r>
        <w:rPr>
          <w:rFonts w:cs="Calibri"/>
        </w:rPr>
        <w:t>- możliwość pracy w pozycjach: zwykłej I odwróconej o 180 stopni</w:t>
      </w:r>
    </w:p>
    <w:p>
      <w:pPr>
        <w:pStyle w:val="Akapitzlist"/>
        <w:jc w:val="both"/>
        <w:rPr>
          <w:rFonts w:ascii="Times New Roman" w:hAnsi="Times New Roman" w:cs="Calibri"/>
          <w:b/>
          <w:b/>
        </w:rPr>
      </w:pPr>
      <w:r>
        <w:rPr>
          <w:rFonts w:cs="Calibri"/>
          <w:b/>
        </w:rPr>
      </w:r>
    </w:p>
    <w:p>
      <w:pPr>
        <w:pStyle w:val="Akapitzlist"/>
        <w:numPr>
          <w:ilvl w:val="0"/>
          <w:numId w:val="21"/>
        </w:numPr>
        <w:spacing w:lineRule="auto" w:line="240" w:before="0" w:after="0"/>
        <w:contextualSpacing/>
        <w:jc w:val="both"/>
        <w:rPr>
          <w:rFonts w:ascii="Times New Roman" w:hAnsi="Times New Roman"/>
        </w:rPr>
      </w:pPr>
      <w:r>
        <w:rPr>
          <w:rFonts w:cs="Calibri"/>
          <w:b/>
        </w:rPr>
        <w:t>Stacja robocza do sterowania systemem (3 kamerami, mikserem wizji, procesem dekodowania /enkodowania, nagrywania) – 1 sztuka</w:t>
      </w:r>
    </w:p>
    <w:p>
      <w:pPr>
        <w:pStyle w:val="Akapitzlist"/>
        <w:jc w:val="both"/>
        <w:rPr>
          <w:rFonts w:ascii="Times New Roman" w:hAnsi="Times New Roman" w:cs="Calibri"/>
          <w:b/>
          <w:b/>
        </w:rPr>
      </w:pPr>
      <w:r>
        <w:rPr>
          <w:rFonts w:cs="Calibri"/>
          <w:b/>
        </w:rPr>
      </w:r>
    </w:p>
    <w:p>
      <w:pPr>
        <w:pStyle w:val="Akapitzlist"/>
        <w:jc w:val="both"/>
        <w:rPr>
          <w:rFonts w:ascii="Times New Roman" w:hAnsi="Times New Roman"/>
        </w:rPr>
      </w:pPr>
      <w:r>
        <w:rPr>
          <w:rFonts w:cs="Calibri"/>
        </w:rPr>
        <w:t>Stacja robocza w klasycznej obudowie typu "tower":</w:t>
      </w:r>
    </w:p>
    <w:p>
      <w:pPr>
        <w:pStyle w:val="Akapitzlist"/>
        <w:jc w:val="both"/>
        <w:rPr>
          <w:rFonts w:ascii="Times New Roman" w:hAnsi="Times New Roman"/>
        </w:rPr>
      </w:pPr>
      <w:r>
        <w:rPr>
          <w:rFonts w:cs="Calibri"/>
        </w:rPr>
        <w:t>- procesor min. 10 rdzeni/20 wątków lub równoważny osiągający w testach CPU Benchmarks (http://www.cpubenchmark.net ) – Average CPU Mark minimum 20463 punktów</w:t>
      </w:r>
    </w:p>
    <w:p>
      <w:pPr>
        <w:pStyle w:val="Akapitzlist"/>
        <w:jc w:val="both"/>
        <w:rPr>
          <w:rFonts w:ascii="Times New Roman" w:hAnsi="Times New Roman"/>
        </w:rPr>
      </w:pPr>
      <w:r>
        <w:rPr>
          <w:rFonts w:cs="Calibri"/>
        </w:rPr>
        <w:t>- wsparcie dla min. TPM 2.0</w:t>
      </w:r>
    </w:p>
    <w:p>
      <w:pPr>
        <w:pStyle w:val="Akapitzlist"/>
        <w:jc w:val="both"/>
        <w:rPr>
          <w:rFonts w:ascii="Times New Roman" w:hAnsi="Times New Roman"/>
        </w:rPr>
      </w:pPr>
      <w:r>
        <w:rPr>
          <w:rFonts w:cs="Calibri"/>
        </w:rPr>
        <w:t>- pamięć 32 GB RAM DDR4 minimum 3200MHz</w:t>
      </w:r>
    </w:p>
    <w:p>
      <w:pPr>
        <w:pStyle w:val="Akapitzlist"/>
        <w:jc w:val="both"/>
        <w:rPr>
          <w:rFonts w:ascii="Times New Roman" w:hAnsi="Times New Roman"/>
        </w:rPr>
      </w:pPr>
      <w:r>
        <w:rPr>
          <w:rFonts w:cs="Calibri"/>
        </w:rPr>
        <w:t>- dysk HDD o pojemności min. 2 TB 7200,</w:t>
      </w:r>
    </w:p>
    <w:p>
      <w:pPr>
        <w:pStyle w:val="Akapitzlist"/>
        <w:jc w:val="both"/>
        <w:rPr>
          <w:rFonts w:ascii="Times New Roman" w:hAnsi="Times New Roman"/>
        </w:rPr>
      </w:pPr>
      <w:r>
        <w:rPr>
          <w:rFonts w:cs="Calibri"/>
        </w:rPr>
        <w:t>- dysk SSD .M2 o pojemności min.500 GB</w:t>
      </w:r>
    </w:p>
    <w:p>
      <w:pPr>
        <w:pStyle w:val="Akapitzlist"/>
        <w:jc w:val="both"/>
        <w:rPr>
          <w:rFonts w:ascii="Times New Roman" w:hAnsi="Times New Roman"/>
        </w:rPr>
      </w:pPr>
      <w:r>
        <w:rPr>
          <w:rFonts w:cs="Calibri"/>
        </w:rPr>
        <w:t>- karta graficzna minimum: 6GB GDDR6, DLSS 2.0</w:t>
      </w:r>
      <w:r>
        <w:rPr/>
        <w:t xml:space="preserve">, </w:t>
      </w:r>
      <w:r>
        <w:rPr>
          <w:rFonts w:cs="Calibri"/>
        </w:rPr>
        <w:t>szyna pamięci 192bit, 240 rdzeni Tensor, 1920 rdzeni CUDA (wspierane przez oprogramowanie vMIX podczas renderowania filmów)</w:t>
      </w:r>
    </w:p>
    <w:p>
      <w:pPr>
        <w:pStyle w:val="Akapitzlist"/>
        <w:jc w:val="both"/>
        <w:rPr>
          <w:rFonts w:ascii="Times New Roman" w:hAnsi="Times New Roman"/>
        </w:rPr>
      </w:pPr>
      <w:r>
        <w:rPr>
          <w:rFonts w:cs="Calibri"/>
        </w:rPr>
        <w:t xml:space="preserve">- system operacyjny min. Windows 10 x64 </w:t>
      </w:r>
      <w:r>
        <w:rPr>
          <w:rFonts w:cs="Calibri"/>
          <w:b/>
        </w:rPr>
        <w:t>(równoważność załącznik nr 1.1)</w:t>
      </w:r>
      <w:r>
        <w:rPr>
          <w:rFonts w:cs="Calibri"/>
        </w:rPr>
        <w:t>,</w:t>
      </w:r>
    </w:p>
    <w:p>
      <w:pPr>
        <w:pStyle w:val="Akapitzlist"/>
        <w:jc w:val="both"/>
        <w:rPr>
          <w:rFonts w:ascii="Times New Roman" w:hAnsi="Times New Roman"/>
        </w:rPr>
      </w:pPr>
      <w:r>
        <w:rPr>
          <w:rFonts w:cs="Calibri"/>
        </w:rPr>
        <w:t>- mysz i klawiatura,</w:t>
      </w:r>
    </w:p>
    <w:p>
      <w:pPr>
        <w:pStyle w:val="Akapitzlist"/>
        <w:jc w:val="both"/>
        <w:rPr>
          <w:rFonts w:ascii="Times New Roman" w:hAnsi="Times New Roman"/>
        </w:rPr>
      </w:pPr>
      <w:r>
        <w:rPr>
          <w:rFonts w:cs="Calibri"/>
        </w:rPr>
        <w:t>Komputer skonfigurowany i gotowy do pracy</w:t>
      </w:r>
    </w:p>
    <w:p>
      <w:pPr>
        <w:pStyle w:val="Akapitzlist"/>
        <w:jc w:val="both"/>
        <w:rPr>
          <w:rFonts w:ascii="Times New Roman" w:hAnsi="Times New Roman" w:cs="Calibri"/>
        </w:rPr>
      </w:pPr>
      <w:r>
        <w:rPr>
          <w:rFonts w:cs="Calibri"/>
        </w:rPr>
      </w:r>
    </w:p>
    <w:p>
      <w:pPr>
        <w:pStyle w:val="Akapitzlist"/>
        <w:jc w:val="both"/>
        <w:rPr>
          <w:rFonts w:ascii="Times New Roman" w:hAnsi="Times New Roman" w:cs="Calibri"/>
        </w:rPr>
      </w:pPr>
      <w:r>
        <w:rPr>
          <w:rFonts w:cs="Calibri"/>
        </w:rPr>
      </w:r>
    </w:p>
    <w:p>
      <w:pPr>
        <w:pStyle w:val="Akapitzlist"/>
        <w:jc w:val="both"/>
        <w:rPr>
          <w:rFonts w:ascii="Times New Roman" w:hAnsi="Times New Roman" w:cs="Calibri"/>
        </w:rPr>
      </w:pPr>
      <w:r>
        <w:rPr>
          <w:rFonts w:cs="Calibri"/>
        </w:rPr>
      </w:r>
    </w:p>
    <w:p>
      <w:pPr>
        <w:pStyle w:val="Akapitzlist"/>
        <w:jc w:val="both"/>
        <w:rPr>
          <w:rFonts w:ascii="Times New Roman" w:hAnsi="Times New Roman" w:cs="Calibri"/>
        </w:rPr>
      </w:pPr>
      <w:r>
        <w:rPr>
          <w:rFonts w:cs="Calibri"/>
        </w:rPr>
      </w:r>
    </w:p>
    <w:p>
      <w:pPr>
        <w:pStyle w:val="Akapitzlist"/>
        <w:numPr>
          <w:ilvl w:val="0"/>
          <w:numId w:val="21"/>
        </w:numPr>
        <w:spacing w:lineRule="auto" w:line="240" w:before="0" w:after="0"/>
        <w:contextualSpacing/>
        <w:jc w:val="both"/>
        <w:rPr>
          <w:rFonts w:ascii="Times New Roman" w:hAnsi="Times New Roman"/>
        </w:rPr>
      </w:pPr>
      <w:r>
        <w:rPr>
          <w:rFonts w:cs="Calibri"/>
          <w:b/>
        </w:rPr>
        <w:t>Karta umożliwiająca przechwytywanie sygnału z kamer – 1 sztuka</w:t>
      </w:r>
    </w:p>
    <w:p>
      <w:pPr>
        <w:pStyle w:val="Akapitzlist"/>
        <w:jc w:val="both"/>
        <w:rPr>
          <w:rFonts w:ascii="Times New Roman" w:hAnsi="Times New Roman" w:cs="Calibri"/>
          <w:b/>
          <w:b/>
        </w:rPr>
      </w:pPr>
      <w:r>
        <w:rPr>
          <w:rFonts w:cs="Calibri"/>
          <w:b/>
        </w:rPr>
      </w:r>
    </w:p>
    <w:p>
      <w:pPr>
        <w:pStyle w:val="Akapitzlist"/>
        <w:rPr>
          <w:rFonts w:ascii="Times New Roman" w:hAnsi="Times New Roman"/>
        </w:rPr>
      </w:pPr>
      <w:r>
        <w:rPr>
          <w:rFonts w:cs="Calibri"/>
        </w:rPr>
        <w:t>Karta umożliwiająca wejście łącznie do 4 sygnałów z kamer 4K, HD-SDI i innych</w:t>
      </w:r>
    </w:p>
    <w:p>
      <w:pPr>
        <w:pStyle w:val="Akapitzlist"/>
        <w:rPr>
          <w:rFonts w:ascii="Times New Roman" w:hAnsi="Times New Roman"/>
        </w:rPr>
      </w:pPr>
      <w:r>
        <w:rPr>
          <w:rFonts w:cs="Calibri"/>
        </w:rPr>
        <w:t>oraz inne opcje konfiguracji np. 2 wyjścia / 2 wejścia, 1 wyjście/3 wejścia itp.</w:t>
      </w:r>
    </w:p>
    <w:p>
      <w:pPr>
        <w:pStyle w:val="Akapitzlist"/>
        <w:rPr>
          <w:rFonts w:ascii="Times New Roman" w:hAnsi="Times New Roman" w:cs="Calibri"/>
        </w:rPr>
      </w:pPr>
      <w:r>
        <w:rPr>
          <w:rFonts w:cs="Calibri"/>
        </w:rPr>
      </w:r>
    </w:p>
    <w:p>
      <w:pPr>
        <w:pStyle w:val="Akapitzlist"/>
        <w:numPr>
          <w:ilvl w:val="0"/>
          <w:numId w:val="21"/>
        </w:numPr>
        <w:spacing w:lineRule="auto" w:line="240" w:before="0" w:after="0"/>
        <w:contextualSpacing/>
        <w:rPr>
          <w:rFonts w:ascii="Times New Roman" w:hAnsi="Times New Roman"/>
        </w:rPr>
      </w:pPr>
      <w:r>
        <w:rPr>
          <w:rFonts w:cs="Calibri"/>
          <w:b/>
        </w:rPr>
        <w:t>Oprogramowanie do sterowania telewizyjnymi kamerami obrotowymi PTZ oraz mikserem wizji/fonii</w:t>
      </w:r>
    </w:p>
    <w:p>
      <w:pPr>
        <w:pStyle w:val="Akapitzlist"/>
        <w:rPr>
          <w:rFonts w:ascii="Times New Roman" w:hAnsi="Times New Roman" w:cs="Calibri"/>
          <w:b/>
          <w:b/>
        </w:rPr>
      </w:pPr>
      <w:r>
        <w:rPr>
          <w:rFonts w:cs="Calibri"/>
          <w:b/>
        </w:rPr>
      </w:r>
    </w:p>
    <w:p>
      <w:pPr>
        <w:pStyle w:val="Akapitzlist"/>
        <w:jc w:val="both"/>
        <w:rPr>
          <w:rFonts w:ascii="Times New Roman" w:hAnsi="Times New Roman"/>
        </w:rPr>
      </w:pPr>
      <w:r>
        <w:rPr>
          <w:rFonts w:cs="Calibri"/>
        </w:rPr>
        <w:t>Oprogramowanie do sterowania telewizyjnymi kamerami obrotowymi PTZHD IP oraz mikserem i wizji/fonii, ułatwiające proces realizacji telewizyjnej na żywo,</w:t>
      </w:r>
    </w:p>
    <w:p>
      <w:pPr>
        <w:pStyle w:val="Akapitzlist"/>
        <w:jc w:val="both"/>
        <w:rPr>
          <w:rFonts w:ascii="Times New Roman" w:hAnsi="Times New Roman"/>
        </w:rPr>
      </w:pPr>
      <w:r>
        <w:rPr>
          <w:rFonts w:cs="Calibri"/>
        </w:rPr>
        <w:t>- sterowanie do 6 telewizyjnych kamer zrobotyzowanych PTZ HD na jednym ekranie monitora o rozdzielczości min. Full HD.</w:t>
      </w:r>
    </w:p>
    <w:p>
      <w:pPr>
        <w:pStyle w:val="Akapitzlist"/>
        <w:jc w:val="both"/>
        <w:rPr>
          <w:rFonts w:ascii="Times New Roman" w:hAnsi="Times New Roman"/>
        </w:rPr>
      </w:pPr>
      <w:r>
        <w:rPr>
          <w:rFonts w:cs="Calibri"/>
        </w:rPr>
        <w:t>- zapis i odczyt do 200 presetów pozycji PTZ dla kamer obrotowych (jeśli mają tyle pamięci na presety)</w:t>
      </w:r>
    </w:p>
    <w:p>
      <w:pPr>
        <w:pStyle w:val="Akapitzlist"/>
        <w:jc w:val="both"/>
        <w:rPr>
          <w:rFonts w:ascii="Times New Roman" w:hAnsi="Times New Roman"/>
        </w:rPr>
      </w:pPr>
      <w:r>
        <w:rPr>
          <w:rFonts w:cs="Calibri"/>
        </w:rPr>
        <w:t>- zapis obrazów podglądowych (miniatur ustawień PTZ) i opisów presetów w celu łatwej</w:t>
        <w:br/>
        <w:t>i szybkiej identyfikacji i wyboru presetów przez realizatora.</w:t>
      </w:r>
    </w:p>
    <w:p>
      <w:pPr>
        <w:pStyle w:val="Akapitzlist"/>
        <w:jc w:val="both"/>
        <w:rPr>
          <w:rFonts w:ascii="Times New Roman" w:hAnsi="Times New Roman"/>
        </w:rPr>
      </w:pPr>
      <w:r>
        <w:rPr>
          <w:rFonts w:cs="Calibri"/>
        </w:rPr>
        <w:t>- sterowanie kamerami i mikserem przy pomocy: klawiatury i myszy komputerowej,</w:t>
      </w:r>
    </w:p>
    <w:p>
      <w:pPr>
        <w:pStyle w:val="Akapitzlist"/>
        <w:jc w:val="both"/>
        <w:rPr>
          <w:rFonts w:ascii="Times New Roman" w:hAnsi="Times New Roman"/>
        </w:rPr>
      </w:pPr>
      <w:r>
        <w:rPr>
          <w:rFonts w:cs="Calibri"/>
        </w:rPr>
        <w:t>- obsługa kamer zdalnie poprzez protokół TCP/IP,</w:t>
      </w:r>
    </w:p>
    <w:p>
      <w:pPr>
        <w:pStyle w:val="Akapitzlist"/>
        <w:jc w:val="both"/>
        <w:rPr>
          <w:rFonts w:ascii="Times New Roman" w:hAnsi="Times New Roman"/>
        </w:rPr>
      </w:pPr>
      <w:r>
        <w:rPr>
          <w:rFonts w:cs="Calibri"/>
        </w:rPr>
        <w:t>- wbudowany program PLAYOUT do odtwarzania scenariuszy,</w:t>
      </w:r>
    </w:p>
    <w:p>
      <w:pPr>
        <w:pStyle w:val="Akapitzlist"/>
        <w:jc w:val="both"/>
        <w:rPr>
          <w:rFonts w:ascii="Times New Roman" w:hAnsi="Times New Roman"/>
        </w:rPr>
      </w:pPr>
      <w:r>
        <w:rPr>
          <w:rFonts w:cs="Calibri"/>
        </w:rPr>
        <w:t>- wbudowany program AUTO DIRECTOR AI do automatycznej realizacji(sztuczna inteligencja wybiera scenariusz w zależności od aktywnego mikrofonu),</w:t>
      </w:r>
    </w:p>
    <w:p>
      <w:pPr>
        <w:pStyle w:val="Akapitzlist"/>
        <w:jc w:val="both"/>
        <w:rPr>
          <w:rFonts w:ascii="Times New Roman" w:hAnsi="Times New Roman"/>
        </w:rPr>
      </w:pPr>
      <w:r>
        <w:rPr>
          <w:rFonts w:cs="Calibri"/>
        </w:rPr>
        <w:t>- możliwość przeprowadzenia półautomatycznej realizacji TV polegającej na wyzwalaniu wcześniej zdefiniowanych scenariuszy. Oprogramowanie umożliwia programowanie sekwencji takich parametrów jak zmiana toru miksera wizji Program, Preview, zmiana presetów kamer zrobotyzowanych, wyzwalanie plików  multimedialnych, efekty przejść (transition) i ustawiane przez użytkownika długości odstępów czasowych między poszczególnymi rozkazami,</w:t>
      </w:r>
    </w:p>
    <w:p>
      <w:pPr>
        <w:pStyle w:val="Akapitzlist"/>
        <w:jc w:val="both"/>
        <w:rPr>
          <w:rFonts w:ascii="Times New Roman" w:hAnsi="Times New Roman"/>
        </w:rPr>
      </w:pPr>
      <w:r>
        <w:rPr>
          <w:rFonts w:cs="Calibri"/>
        </w:rPr>
        <w:t>- scheduler - terminarz do uruchamiania funkcji miksera, scenariuszy realizacji itp. o określonych, programowanych przez użytkownika porach, odróżnia dni powszednie, niedziele, pojedyncze daty, itp.</w:t>
      </w:r>
    </w:p>
    <w:p>
      <w:pPr>
        <w:pStyle w:val="Akapitzlist"/>
        <w:jc w:val="both"/>
        <w:rPr>
          <w:rFonts w:ascii="Times New Roman" w:hAnsi="Times New Roman"/>
        </w:rPr>
      </w:pPr>
      <w:r>
        <w:rPr>
          <w:rFonts w:cs="Calibri"/>
        </w:rPr>
        <w:t>- sterowanie z tableta, smartfonu, laptopa itp. przy pomocy dedykowanych stron www (mogą być modyfikowane samodzielnie przez użytkownika).</w:t>
      </w:r>
    </w:p>
    <w:p>
      <w:pPr>
        <w:pStyle w:val="Akapitzlist"/>
        <w:rPr>
          <w:rFonts w:ascii="Times New Roman" w:hAnsi="Times New Roman"/>
        </w:rPr>
      </w:pPr>
      <w:r>
        <w:rPr>
          <w:rFonts w:cs="Calibri"/>
        </w:rPr>
        <w:t>Licencja wieczysta na jedno stanowisko.</w:t>
      </w:r>
    </w:p>
    <w:p>
      <w:pPr>
        <w:pStyle w:val="Akapitzlist"/>
        <w:rPr>
          <w:rFonts w:ascii="Times New Roman" w:hAnsi="Times New Roman" w:cs="Calibri"/>
        </w:rPr>
      </w:pPr>
      <w:r>
        <w:rPr>
          <w:rFonts w:cs="Calibri"/>
        </w:rPr>
      </w:r>
    </w:p>
    <w:p>
      <w:pPr>
        <w:pStyle w:val="Akapitzlist"/>
        <w:numPr>
          <w:ilvl w:val="0"/>
          <w:numId w:val="21"/>
        </w:numPr>
        <w:spacing w:lineRule="auto" w:line="240" w:before="0" w:after="0"/>
        <w:contextualSpacing/>
        <w:rPr>
          <w:rFonts w:ascii="Times New Roman" w:hAnsi="Times New Roman"/>
        </w:rPr>
      </w:pPr>
      <w:r>
        <w:rPr>
          <w:rFonts w:cs="Calibri"/>
          <w:b/>
        </w:rPr>
        <w:t>Oprogramowanie vMIX 4k upgrade z vMIX SD</w:t>
      </w:r>
    </w:p>
    <w:p>
      <w:pPr>
        <w:pStyle w:val="Akapitzlist"/>
        <w:rPr>
          <w:rFonts w:ascii="Times New Roman" w:hAnsi="Times New Roman" w:cs="Calibri"/>
          <w:b/>
          <w:b/>
        </w:rPr>
      </w:pPr>
      <w:r>
        <w:rPr>
          <w:rFonts w:cs="Calibri"/>
          <w:b/>
        </w:rPr>
      </w:r>
    </w:p>
    <w:p>
      <w:pPr>
        <w:pStyle w:val="Akapitzlist"/>
        <w:jc w:val="both"/>
        <w:rPr>
          <w:rFonts w:ascii="Times New Roman" w:hAnsi="Times New Roman"/>
        </w:rPr>
      </w:pPr>
      <w:r>
        <w:rPr>
          <w:rFonts w:cs="Calibri"/>
        </w:rPr>
        <w:t>(obecnie posiadamy wersję 17 vMIX i w związku z tym zasadnym jest, aby oferowany produkt był tej samej firmy, w przypadku dostarczenia innego rozwiązania wykonawca zobowiązany jest do wdrożenia (instalacji, konfiguracji I szkolenia) minimum 8h w godzinach pracy Urzędu Miasta w Tomaszowie Mazowieckim 7.30 – 15-30)</w:t>
      </w:r>
    </w:p>
    <w:p>
      <w:pPr>
        <w:pStyle w:val="Akapitzlist"/>
        <w:jc w:val="both"/>
        <w:rPr>
          <w:rFonts w:ascii="Times New Roman" w:hAnsi="Times New Roman" w:cs="Calibri"/>
          <w:b/>
          <w:b/>
        </w:rPr>
      </w:pPr>
      <w:r>
        <w:rPr>
          <w:rFonts w:cs="Calibri"/>
          <w:b/>
        </w:rPr>
      </w:r>
    </w:p>
    <w:p>
      <w:pPr>
        <w:pStyle w:val="Akapitzlist"/>
        <w:jc w:val="both"/>
        <w:rPr>
          <w:rFonts w:ascii="Times New Roman" w:hAnsi="Times New Roman"/>
        </w:rPr>
      </w:pPr>
      <w:r>
        <w:rPr>
          <w:rFonts w:cs="Calibri"/>
        </w:rPr>
        <w:t>Mikser programowy audio-wideo umożliwiający profesjonalną realizację TV w jakości do 4K włącznie i posiadający następujące możliwości i funkcje:</w:t>
      </w:r>
    </w:p>
    <w:p>
      <w:pPr>
        <w:pStyle w:val="Akapitzlist"/>
        <w:jc w:val="both"/>
        <w:rPr>
          <w:rFonts w:ascii="Times New Roman" w:hAnsi="Times New Roman"/>
        </w:rPr>
      </w:pPr>
      <w:r>
        <w:rPr>
          <w:rFonts w:cs="Calibri"/>
        </w:rPr>
        <w:t>- miksowanie sygnałów wejściowych audio/wideo na żywo przy użyciu przejść typu "transition",</w:t>
      </w:r>
    </w:p>
    <w:p>
      <w:pPr>
        <w:pStyle w:val="Akapitzlist"/>
        <w:jc w:val="both"/>
        <w:rPr>
          <w:rFonts w:ascii="Times New Roman" w:hAnsi="Times New Roman"/>
        </w:rPr>
      </w:pPr>
      <w:r>
        <w:rPr>
          <w:rFonts w:cs="Calibri"/>
        </w:rPr>
        <w:t>- rejestrację (nagrywanie) miksowanego sygnału w formie pliku wideo na</w:t>
      </w:r>
    </w:p>
    <w:p>
      <w:pPr>
        <w:pStyle w:val="Akapitzlist"/>
        <w:jc w:val="both"/>
        <w:rPr>
          <w:rFonts w:ascii="Times New Roman" w:hAnsi="Times New Roman"/>
        </w:rPr>
      </w:pPr>
      <w:r>
        <w:rPr>
          <w:rFonts w:cs="Calibri"/>
        </w:rPr>
        <w:t>dysku lokalnym,</w:t>
      </w:r>
    </w:p>
    <w:p>
      <w:pPr>
        <w:pStyle w:val="Akapitzlist"/>
        <w:jc w:val="both"/>
        <w:rPr>
          <w:rFonts w:ascii="Times New Roman" w:hAnsi="Times New Roman"/>
        </w:rPr>
      </w:pPr>
      <w:r>
        <w:rPr>
          <w:rFonts w:cs="Calibri"/>
        </w:rPr>
        <w:t>- compositing, czyli tworzenie własnych wizualnych kompozycji z wprowadzonych źródeł na żywo i materiałów audiowizualnych,</w:t>
      </w:r>
    </w:p>
    <w:p>
      <w:pPr>
        <w:pStyle w:val="Akapitzlist"/>
        <w:jc w:val="both"/>
        <w:rPr>
          <w:rFonts w:ascii="Times New Roman" w:hAnsi="Times New Roman"/>
        </w:rPr>
      </w:pPr>
      <w:r>
        <w:rPr>
          <w:rFonts w:cs="Calibri"/>
        </w:rPr>
        <w:t>- chroma key czyli kluczowanie kolorem,</w:t>
      </w:r>
    </w:p>
    <w:p>
      <w:pPr>
        <w:pStyle w:val="Akapitzlist"/>
        <w:jc w:val="both"/>
        <w:rPr>
          <w:rFonts w:ascii="Times New Roman" w:hAnsi="Times New Roman"/>
        </w:rPr>
      </w:pPr>
      <w:r>
        <w:rPr>
          <w:rFonts w:cs="Calibri"/>
        </w:rPr>
        <w:t>- PiP (obraz w obrazie),</w:t>
      </w:r>
    </w:p>
    <w:p>
      <w:pPr>
        <w:pStyle w:val="Akapitzlist"/>
        <w:jc w:val="both"/>
        <w:rPr>
          <w:rFonts w:ascii="Times New Roman" w:hAnsi="Times New Roman"/>
        </w:rPr>
      </w:pPr>
      <w:r>
        <w:rPr>
          <w:rFonts w:cs="Calibri"/>
        </w:rPr>
        <w:t>- audio delay = opóźnienie dźwięku w celu perfekcyjnej synchronizacji z obrazem,</w:t>
      </w:r>
    </w:p>
    <w:p>
      <w:pPr>
        <w:pStyle w:val="Akapitzlist"/>
        <w:jc w:val="both"/>
        <w:rPr>
          <w:rFonts w:ascii="Times New Roman" w:hAnsi="Times New Roman"/>
        </w:rPr>
      </w:pPr>
      <w:r>
        <w:rPr>
          <w:rFonts w:cs="Calibri"/>
        </w:rPr>
        <w:t>- desktop capture = przechwytywanie pulpitu z tego lub innego komputera w sieci,</w:t>
      </w:r>
    </w:p>
    <w:p>
      <w:pPr>
        <w:pStyle w:val="Akapitzlist"/>
        <w:jc w:val="both"/>
        <w:rPr>
          <w:rFonts w:ascii="Times New Roman" w:hAnsi="Times New Roman"/>
        </w:rPr>
      </w:pPr>
      <w:r>
        <w:rPr>
          <w:rFonts w:cs="Calibri"/>
        </w:rPr>
        <w:t>- zarządzanie i emisja multimediów (grafika, filmy, prezentacje, pliki audio),</w:t>
      </w:r>
    </w:p>
    <w:p>
      <w:pPr>
        <w:pStyle w:val="Akapitzlist"/>
        <w:jc w:val="both"/>
        <w:rPr>
          <w:rFonts w:ascii="Times New Roman" w:hAnsi="Times New Roman"/>
        </w:rPr>
      </w:pPr>
      <w:r>
        <w:rPr>
          <w:rFonts w:cs="Calibri"/>
        </w:rPr>
        <w:t>- nakładanie (kluczowanie) grafik na obraz (podpisy, wizytówki, plansze, teksty reklamowe itp.)</w:t>
      </w:r>
    </w:p>
    <w:p>
      <w:pPr>
        <w:pStyle w:val="Akapitzlist"/>
        <w:jc w:val="both"/>
        <w:rPr>
          <w:rFonts w:ascii="Times New Roman" w:hAnsi="Times New Roman"/>
        </w:rPr>
      </w:pPr>
      <w:r>
        <w:rPr>
          <w:rFonts w:cs="Calibri"/>
        </w:rPr>
        <w:t>- nakładanie (kluczowanie) zegara cyfrowego na obraz,</w:t>
      </w:r>
    </w:p>
    <w:p>
      <w:pPr>
        <w:pStyle w:val="Akapitzlist"/>
        <w:jc w:val="both"/>
        <w:rPr>
          <w:rFonts w:ascii="Times New Roman" w:hAnsi="Times New Roman"/>
        </w:rPr>
      </w:pPr>
      <w:r>
        <w:rPr>
          <w:rFonts w:cs="Calibri"/>
        </w:rPr>
        <w:t>- możliwość wprowadzenia nawet do. 1000 sygnałów jako źródła do miksowania, kamery, audio, napisy, zdjęcia, filmy, itp.</w:t>
      </w:r>
    </w:p>
    <w:p>
      <w:pPr>
        <w:pStyle w:val="Akapitzlist"/>
        <w:jc w:val="both"/>
        <w:rPr>
          <w:rFonts w:ascii="Times New Roman" w:hAnsi="Times New Roman"/>
        </w:rPr>
      </w:pPr>
      <w:r>
        <w:rPr>
          <w:rFonts w:cs="Calibri"/>
        </w:rPr>
        <w:t>- obsługa 4 kanałów warstw (overlay) nakładanych na obraz,</w:t>
      </w:r>
    </w:p>
    <w:p>
      <w:pPr>
        <w:pStyle w:val="Akapitzlist"/>
        <w:jc w:val="both"/>
        <w:rPr>
          <w:rFonts w:ascii="Times New Roman" w:hAnsi="Times New Roman"/>
        </w:rPr>
      </w:pPr>
      <w:r>
        <w:rPr>
          <w:rFonts w:cs="Calibri"/>
        </w:rPr>
        <w:t>- VMIX CALL dla 4 jednoczesnych użytkowników,</w:t>
      </w:r>
    </w:p>
    <w:p>
      <w:pPr>
        <w:pStyle w:val="Akapitzlist"/>
        <w:jc w:val="both"/>
        <w:rPr>
          <w:rFonts w:ascii="Times New Roman" w:hAnsi="Times New Roman"/>
        </w:rPr>
      </w:pPr>
      <w:r>
        <w:rPr>
          <w:rFonts w:cs="Calibri"/>
        </w:rPr>
        <w:t>Licencja typu "lifetime" na jedno stanowisko.</w:t>
      </w:r>
    </w:p>
    <w:p>
      <w:pPr>
        <w:pStyle w:val="Akapitzlist"/>
        <w:jc w:val="both"/>
        <w:rPr>
          <w:rFonts w:ascii="Times New Roman" w:hAnsi="Times New Roman" w:cs="Calibri"/>
        </w:rPr>
      </w:pPr>
      <w:r>
        <w:rPr>
          <w:rFonts w:cs="Calibri"/>
        </w:rPr>
      </w:r>
    </w:p>
    <w:p>
      <w:pPr>
        <w:pStyle w:val="Akapitzlist"/>
        <w:numPr>
          <w:ilvl w:val="0"/>
          <w:numId w:val="21"/>
        </w:numPr>
        <w:spacing w:lineRule="auto" w:line="240" w:before="0" w:after="0"/>
        <w:contextualSpacing/>
        <w:jc w:val="both"/>
        <w:rPr>
          <w:rFonts w:ascii="Times New Roman" w:hAnsi="Times New Roman"/>
        </w:rPr>
      </w:pPr>
      <w:r>
        <w:rPr>
          <w:rFonts w:cs="Calibri"/>
          <w:b/>
        </w:rPr>
        <w:t>Instruktaż</w:t>
      </w:r>
    </w:p>
    <w:p>
      <w:pPr>
        <w:pStyle w:val="Akapitzlist"/>
        <w:jc w:val="both"/>
        <w:rPr>
          <w:rFonts w:ascii="Times New Roman" w:hAnsi="Times New Roman" w:cs="Calibri"/>
          <w:b/>
          <w:b/>
        </w:rPr>
      </w:pPr>
      <w:r>
        <w:rPr>
          <w:rFonts w:cs="Calibri"/>
          <w:b/>
        </w:rPr>
      </w:r>
    </w:p>
    <w:p>
      <w:pPr>
        <w:pStyle w:val="Akapitzlist"/>
        <w:jc w:val="both"/>
        <w:rPr>
          <w:rFonts w:ascii="Times New Roman" w:hAnsi="Times New Roman"/>
        </w:rPr>
      </w:pPr>
      <w:r>
        <w:rPr>
          <w:rFonts w:cs="Calibri"/>
        </w:rPr>
        <w:t>Wykonawca jest zobowiązany do przeprowadzenia instruktażu dla maksimum 2 pracowników Zamawiającego w ilości co najmniej 8 godzin zegarowych łącznie. Powinien on odbyć się w miejscu realizacji przedmiotu zamówienia nie później niż przed jego terminem odbioru końcowego, w ciągu maksymalnie trzech dni roboczych, w godzinach pracy Zamawiającego tj. od 7.30 do 15.30. Instruktaż ma być podzielony wg poszczególnych zagadnień związanych z obsługą poszczególnych systemów i urządzeń.</w:t>
      </w:r>
    </w:p>
    <w:p>
      <w:pPr>
        <w:pStyle w:val="Akapitzlist"/>
        <w:jc w:val="both"/>
        <w:rPr>
          <w:rFonts w:ascii="Times New Roman" w:hAnsi="Times New Roman"/>
        </w:rPr>
      </w:pPr>
      <w:r>
        <w:rPr>
          <w:rFonts w:cs="Calibri"/>
        </w:rPr>
        <w:t>Zakres instruktażu:</w:t>
      </w:r>
    </w:p>
    <w:p>
      <w:pPr>
        <w:pStyle w:val="Akapitzlist"/>
        <w:jc w:val="both"/>
        <w:rPr>
          <w:rFonts w:ascii="Times New Roman" w:hAnsi="Times New Roman"/>
        </w:rPr>
      </w:pPr>
      <w:r>
        <w:rPr>
          <w:rFonts w:cs="Calibri"/>
        </w:rPr>
        <w:t>Wykonawca przeprowadzi instruktaż z zakresu uruchomienia i użytkowania dostarczonego sprzętu i wyposażenia oraz oprogramowania</w:t>
      </w:r>
    </w:p>
    <w:p>
      <w:pPr>
        <w:pStyle w:val="Akapitzlist"/>
        <w:jc w:val="both"/>
        <w:rPr>
          <w:rFonts w:ascii="Times New Roman" w:hAnsi="Times New Roman" w:cs="Calibri"/>
          <w:b/>
          <w:b/>
        </w:rPr>
      </w:pPr>
      <w:r>
        <w:rPr>
          <w:rFonts w:cs="Calibri"/>
          <w:b/>
        </w:rPr>
      </w:r>
    </w:p>
    <w:p>
      <w:pPr>
        <w:pStyle w:val="Akapitzlist"/>
        <w:jc w:val="both"/>
        <w:rPr>
          <w:rFonts w:ascii="Times New Roman" w:hAnsi="Times New Roman" w:cs="Calibri"/>
          <w:b/>
          <w:b/>
        </w:rPr>
      </w:pPr>
      <w:r>
        <w:rPr>
          <w:rFonts w:cs="Calibri"/>
          <w:b/>
        </w:rPr>
      </w:r>
      <w:r>
        <w:br w:type="page"/>
      </w:r>
    </w:p>
    <w:p>
      <w:pPr>
        <w:pStyle w:val="Normal"/>
        <w:rPr>
          <w:rFonts w:ascii="Times New Roman" w:hAnsi="Times New Roman" w:cs="Calibri"/>
          <w:b/>
          <w:b/>
          <w:sz w:val="24"/>
          <w:szCs w:val="24"/>
        </w:rPr>
      </w:pPr>
      <w:r>
        <w:rPr>
          <w:rFonts w:cs="Calibri"/>
          <w:b/>
          <w:sz w:val="24"/>
          <w:szCs w:val="24"/>
        </w:rPr>
      </w:r>
    </w:p>
    <w:p>
      <w:pPr>
        <w:pStyle w:val="Normal"/>
        <w:spacing w:lineRule="auto" w:line="240" w:before="0" w:after="0"/>
        <w:jc w:val="right"/>
        <w:rPr>
          <w:rFonts w:ascii="Times New Roman" w:hAnsi="Times New Roman"/>
        </w:rPr>
      </w:pPr>
      <w:r>
        <w:rPr>
          <w:b/>
          <w:sz w:val="24"/>
          <w:szCs w:val="24"/>
        </w:rPr>
        <w:t>Załącznik 1.1</w:t>
      </w:r>
    </w:p>
    <w:p>
      <w:pPr>
        <w:pStyle w:val="Normal"/>
        <w:spacing w:lineRule="auto" w:line="240" w:before="0" w:after="0"/>
        <w:rPr>
          <w:rFonts w:ascii="Times New Roman" w:hAnsi="Times New Roman"/>
        </w:rPr>
      </w:pPr>
      <w:bookmarkStart w:id="0" w:name="_heading=h.rjx196vvd2jy"/>
      <w:bookmarkEnd w:id="0"/>
      <w:r>
        <w:rPr>
          <w:sz w:val="24"/>
          <w:szCs w:val="24"/>
        </w:rPr>
        <w:t>Równoważność.</w:t>
      </w:r>
    </w:p>
    <w:p>
      <w:pPr>
        <w:pStyle w:val="Normal"/>
        <w:spacing w:lineRule="auto" w:line="240" w:before="0" w:after="0"/>
        <w:rPr>
          <w:rFonts w:ascii="Times New Roman" w:hAnsi="Times New Roman"/>
          <w:sz w:val="24"/>
          <w:szCs w:val="24"/>
        </w:rPr>
      </w:pPr>
      <w:r>
        <w:rPr>
          <w:sz w:val="24"/>
          <w:szCs w:val="24"/>
        </w:rPr>
      </w:r>
      <w:bookmarkStart w:id="1" w:name="_heading=h.py1fti1dabbx"/>
      <w:bookmarkStart w:id="2" w:name="_heading=h.py1fti1dabbx"/>
      <w:bookmarkEnd w:id="2"/>
    </w:p>
    <w:p>
      <w:pPr>
        <w:pStyle w:val="Normal"/>
        <w:spacing w:lineRule="auto" w:line="240" w:before="0" w:after="0"/>
        <w:rPr>
          <w:rFonts w:ascii="Times New Roman" w:hAnsi="Times New Roman"/>
        </w:rPr>
      </w:pPr>
      <w:bookmarkStart w:id="3" w:name="_heading=h.m0rkuq8e7zuk"/>
      <w:bookmarkEnd w:id="3"/>
      <w:r>
        <w:rPr>
          <w:b/>
          <w:sz w:val="24"/>
          <w:szCs w:val="24"/>
        </w:rPr>
        <w:t xml:space="preserve">Oprogramowanie typu MS Windows 10 Professional 64bit PL lub równoważne, </w:t>
        <w:br/>
        <w:t>spełniające poniższe warunki:</w:t>
      </w:r>
    </w:p>
    <w:p>
      <w:pPr>
        <w:pStyle w:val="Normal"/>
        <w:numPr>
          <w:ilvl w:val="0"/>
          <w:numId w:val="22"/>
        </w:numPr>
        <w:spacing w:lineRule="auto" w:line="240" w:before="0" w:after="0"/>
        <w:jc w:val="both"/>
        <w:rPr>
          <w:rFonts w:ascii="Times New Roman" w:hAnsi="Times New Roman"/>
        </w:rPr>
      </w:pPr>
      <w:bookmarkStart w:id="4" w:name="_heading=h.tp862pg0o6qc"/>
      <w:bookmarkEnd w:id="4"/>
      <w:r>
        <w:rPr>
          <w:sz w:val="24"/>
          <w:szCs w:val="24"/>
        </w:rPr>
        <w:t>System operacyjny dla komputerów przenośnych, z graficznym interfejsem użytkownika,</w:t>
      </w:r>
    </w:p>
    <w:p>
      <w:pPr>
        <w:pStyle w:val="Normal"/>
        <w:numPr>
          <w:ilvl w:val="0"/>
          <w:numId w:val="22"/>
        </w:numPr>
        <w:spacing w:lineRule="auto" w:line="240" w:before="0" w:after="0"/>
        <w:jc w:val="both"/>
        <w:rPr>
          <w:rFonts w:ascii="Times New Roman" w:hAnsi="Times New Roman"/>
        </w:rPr>
      </w:pPr>
      <w:bookmarkStart w:id="5" w:name="_heading=h.a414k8v1ltgq"/>
      <w:bookmarkEnd w:id="5"/>
      <w:r>
        <w:rPr>
          <w:sz w:val="24"/>
          <w:szCs w:val="24"/>
        </w:rPr>
        <w:t>System operacyjny ma pozwalać na uruchomienie i pracę z aplikacjami użytkowanymi przez Zamawiającego, w szczególności: MS Office 2010, 2013, 2016; MS Visio 2007, 2010, 2016; MS Project 2007, 2010, 2016; EMID, AutoCAD.</w:t>
      </w:r>
    </w:p>
    <w:p>
      <w:pPr>
        <w:pStyle w:val="Normal"/>
        <w:numPr>
          <w:ilvl w:val="0"/>
          <w:numId w:val="22"/>
        </w:numPr>
        <w:spacing w:lineRule="auto" w:line="240" w:before="0" w:after="0"/>
        <w:jc w:val="both"/>
        <w:rPr>
          <w:rFonts w:ascii="Times New Roman" w:hAnsi="Times New Roman"/>
        </w:rPr>
      </w:pPr>
      <w:bookmarkStart w:id="6" w:name="_heading=h.x6ihu5vscti3"/>
      <w:bookmarkEnd w:id="6"/>
      <w:r>
        <w:rPr>
          <w:sz w:val="24"/>
          <w:szCs w:val="24"/>
        </w:rPr>
        <w:t>System ma udostępniać dwa rodzaje graficznego interfejsu użytkownika:</w:t>
      </w:r>
    </w:p>
    <w:p>
      <w:pPr>
        <w:pStyle w:val="Normal"/>
        <w:numPr>
          <w:ilvl w:val="1"/>
          <w:numId w:val="22"/>
        </w:numPr>
        <w:spacing w:lineRule="auto" w:line="240" w:before="0" w:after="0"/>
        <w:jc w:val="both"/>
        <w:rPr>
          <w:rFonts w:ascii="Times New Roman" w:hAnsi="Times New Roman"/>
        </w:rPr>
      </w:pPr>
      <w:bookmarkStart w:id="7" w:name="_heading=h.jezhh0rx0x1"/>
      <w:bookmarkEnd w:id="7"/>
      <w:r>
        <w:rPr>
          <w:sz w:val="24"/>
          <w:szCs w:val="24"/>
        </w:rPr>
        <w:t>Klasyczny, umożliwiający obsługę przy pomocy klawiatury i myszy,</w:t>
      </w:r>
    </w:p>
    <w:p>
      <w:pPr>
        <w:pStyle w:val="Normal"/>
        <w:numPr>
          <w:ilvl w:val="1"/>
          <w:numId w:val="22"/>
        </w:numPr>
        <w:spacing w:lineRule="auto" w:line="240" w:before="0" w:after="0"/>
        <w:jc w:val="both"/>
        <w:rPr>
          <w:rFonts w:ascii="Times New Roman" w:hAnsi="Times New Roman"/>
        </w:rPr>
      </w:pPr>
      <w:bookmarkStart w:id="8" w:name="_heading=h.8b6t4w8tu4y7"/>
      <w:bookmarkEnd w:id="8"/>
      <w:r>
        <w:rPr>
          <w:sz w:val="24"/>
          <w:szCs w:val="24"/>
        </w:rPr>
        <w:t>Dotykowy umożliwiający sterowanie dotykiem na urządzeniach typu tablet lub monitorach dotykowych,</w:t>
      </w:r>
    </w:p>
    <w:p>
      <w:pPr>
        <w:pStyle w:val="Normal"/>
        <w:numPr>
          <w:ilvl w:val="0"/>
          <w:numId w:val="22"/>
        </w:numPr>
        <w:spacing w:lineRule="auto" w:line="240" w:before="0" w:after="0"/>
        <w:jc w:val="both"/>
        <w:rPr>
          <w:rFonts w:ascii="Times New Roman" w:hAnsi="Times New Roman"/>
        </w:rPr>
      </w:pPr>
      <w:bookmarkStart w:id="9" w:name="_heading=h.9uuk1if5y9p7"/>
      <w:bookmarkEnd w:id="9"/>
      <w:r>
        <w:rPr>
          <w:sz w:val="24"/>
          <w:szCs w:val="24"/>
        </w:rPr>
        <w:t>Interfejsy użytkownika dostępne w wielu językach do wyboru – w tym Polskim i Angielskim,</w:t>
      </w:r>
    </w:p>
    <w:p>
      <w:pPr>
        <w:pStyle w:val="Normal"/>
        <w:numPr>
          <w:ilvl w:val="0"/>
          <w:numId w:val="22"/>
        </w:numPr>
        <w:spacing w:lineRule="auto" w:line="240" w:before="0" w:after="0"/>
        <w:jc w:val="both"/>
        <w:rPr>
          <w:rFonts w:ascii="Times New Roman" w:hAnsi="Times New Roman"/>
        </w:rPr>
      </w:pPr>
      <w:bookmarkStart w:id="10" w:name="_heading=h.bkrkjwf9kyqn"/>
      <w:bookmarkEnd w:id="10"/>
      <w:r>
        <w:rPr>
          <w:sz w:val="24"/>
          <w:szCs w:val="24"/>
        </w:rPr>
        <w:t>Zlokalizowane w języku polskim, co najmniej następujące elementy: menu, odtwarzacz multimediów, pomoc, komunikaty systemowe,</w:t>
      </w:r>
    </w:p>
    <w:p>
      <w:pPr>
        <w:pStyle w:val="Normal"/>
        <w:numPr>
          <w:ilvl w:val="0"/>
          <w:numId w:val="22"/>
        </w:numPr>
        <w:spacing w:lineRule="auto" w:line="240" w:before="0" w:after="0"/>
        <w:jc w:val="both"/>
        <w:rPr>
          <w:rFonts w:ascii="Times New Roman" w:hAnsi="Times New Roman"/>
        </w:rPr>
      </w:pPr>
      <w:bookmarkStart w:id="11" w:name="_heading=h.q7bgmomsq9t9"/>
      <w:bookmarkEnd w:id="11"/>
      <w:r>
        <w:rPr>
          <w:sz w:val="24"/>
          <w:szCs w:val="24"/>
        </w:rPr>
        <w:t>Wbudowany system pomocy w języku polskim,</w:t>
      </w:r>
    </w:p>
    <w:p>
      <w:pPr>
        <w:pStyle w:val="Normal"/>
        <w:numPr>
          <w:ilvl w:val="0"/>
          <w:numId w:val="22"/>
        </w:numPr>
        <w:spacing w:lineRule="auto" w:line="240" w:before="0" w:after="0"/>
        <w:jc w:val="both"/>
        <w:rPr>
          <w:rFonts w:ascii="Times New Roman" w:hAnsi="Times New Roman"/>
        </w:rPr>
      </w:pPr>
      <w:bookmarkStart w:id="12" w:name="_heading=h.dhcpn0puxbe8"/>
      <w:bookmarkEnd w:id="12"/>
      <w:r>
        <w:rPr>
          <w:sz w:val="24"/>
          <w:szCs w:val="24"/>
        </w:rPr>
        <w:t>Graficzne środowisko instalacji i konfiguracji dostępne w języku polskim,</w:t>
      </w:r>
    </w:p>
    <w:p>
      <w:pPr>
        <w:pStyle w:val="Normal"/>
        <w:numPr>
          <w:ilvl w:val="0"/>
          <w:numId w:val="22"/>
        </w:numPr>
        <w:spacing w:lineRule="auto" w:line="240" w:before="0" w:after="0"/>
        <w:jc w:val="both"/>
        <w:rPr>
          <w:rFonts w:ascii="Times New Roman" w:hAnsi="Times New Roman"/>
        </w:rPr>
      </w:pPr>
      <w:bookmarkStart w:id="13" w:name="_heading=h.b1t929ib1812"/>
      <w:bookmarkEnd w:id="13"/>
      <w:r>
        <w:rPr>
          <w:sz w:val="24"/>
          <w:szCs w:val="24"/>
        </w:rPr>
        <w:t>Możliwość dokonywania bezpłatnych aktualizacji i poprawek w ramach wersji systemu operacyjnego poprzez Internet, mechanizmem udostępnianym przez producenta systemu z możliwością wyboru instalowanych poprawek oraz mechanizmem sprawdzającym, które z poprawek są potrzebne,</w:t>
      </w:r>
    </w:p>
    <w:p>
      <w:pPr>
        <w:pStyle w:val="Normal"/>
        <w:numPr>
          <w:ilvl w:val="0"/>
          <w:numId w:val="22"/>
        </w:numPr>
        <w:spacing w:lineRule="auto" w:line="240" w:before="0" w:after="0"/>
        <w:jc w:val="both"/>
        <w:rPr>
          <w:rFonts w:ascii="Times New Roman" w:hAnsi="Times New Roman"/>
        </w:rPr>
      </w:pPr>
      <w:bookmarkStart w:id="14" w:name="_heading=h.sn6svrs27mdz"/>
      <w:bookmarkEnd w:id="14"/>
      <w:r>
        <w:rPr>
          <w:sz w:val="24"/>
          <w:szCs w:val="24"/>
        </w:rPr>
        <w:t>Możliwość dokonywania aktualizacji i poprawek systemu poprzez mechanizm zarządzany przez administratora systemu Zamawiającego,</w:t>
      </w:r>
    </w:p>
    <w:p>
      <w:pPr>
        <w:pStyle w:val="Normal"/>
        <w:numPr>
          <w:ilvl w:val="0"/>
          <w:numId w:val="22"/>
        </w:numPr>
        <w:spacing w:lineRule="auto" w:line="240" w:before="0" w:after="0"/>
        <w:jc w:val="both"/>
        <w:rPr>
          <w:rFonts w:ascii="Times New Roman" w:hAnsi="Times New Roman"/>
        </w:rPr>
      </w:pPr>
      <w:bookmarkStart w:id="15" w:name="_heading=h.3eamy1204xfw"/>
      <w:bookmarkEnd w:id="15"/>
      <w:r>
        <w:rPr>
          <w:sz w:val="24"/>
          <w:szCs w:val="24"/>
        </w:rPr>
        <w:t>Dostępność bezpłatnych biuletynów bezpieczeństwa związanych z działaniem systemu operacyjnego,</w:t>
      </w:r>
    </w:p>
    <w:p>
      <w:pPr>
        <w:pStyle w:val="Normal"/>
        <w:numPr>
          <w:ilvl w:val="0"/>
          <w:numId w:val="22"/>
        </w:numPr>
        <w:spacing w:lineRule="auto" w:line="240" w:before="0" w:after="0"/>
        <w:jc w:val="both"/>
        <w:rPr>
          <w:rFonts w:ascii="Times New Roman" w:hAnsi="Times New Roman"/>
        </w:rPr>
      </w:pPr>
      <w:bookmarkStart w:id="16" w:name="_heading=h.104zacmyeb7g"/>
      <w:bookmarkEnd w:id="16"/>
      <w:r>
        <w:rPr>
          <w:sz w:val="24"/>
          <w:szCs w:val="24"/>
        </w:rPr>
        <w:t>Wbudowana zapora internetowa (firewall) dla ochrony połączeń internetowych; zintegrowana z systemem konsola do zarządzania ustawieniami zapory i regułami IP v4 i v6;</w:t>
      </w:r>
    </w:p>
    <w:p>
      <w:pPr>
        <w:pStyle w:val="Normal"/>
        <w:numPr>
          <w:ilvl w:val="0"/>
          <w:numId w:val="22"/>
        </w:numPr>
        <w:spacing w:lineRule="auto" w:line="240" w:before="0" w:after="0"/>
        <w:jc w:val="both"/>
        <w:rPr>
          <w:rFonts w:ascii="Times New Roman" w:hAnsi="Times New Roman"/>
        </w:rPr>
      </w:pPr>
      <w:bookmarkStart w:id="17" w:name="_heading=h.luwubup2ayhp"/>
      <w:bookmarkEnd w:id="17"/>
      <w:r>
        <w:rPr>
          <w:sz w:val="24"/>
          <w:szCs w:val="24"/>
        </w:rPr>
        <w:t>Wbudowane mechanizmy ochrony antywirusowej i przeciw złośliwemu oprogramowaniu z zapewnionymi bezpłatnymi aktualizacjami,</w:t>
      </w:r>
    </w:p>
    <w:p>
      <w:pPr>
        <w:pStyle w:val="Normal"/>
        <w:numPr>
          <w:ilvl w:val="0"/>
          <w:numId w:val="22"/>
        </w:numPr>
        <w:spacing w:lineRule="auto" w:line="240" w:before="0" w:after="0"/>
        <w:jc w:val="both"/>
        <w:rPr>
          <w:rFonts w:ascii="Times New Roman" w:hAnsi="Times New Roman"/>
        </w:rPr>
      </w:pPr>
      <w:bookmarkStart w:id="18" w:name="_heading=h.h49otjjd3qhh"/>
      <w:bookmarkEnd w:id="18"/>
      <w:r>
        <w:rPr>
          <w:sz w:val="24"/>
          <w:szCs w:val="24"/>
        </w:rPr>
        <w:t>Wsparcie dla większości powszechnie używanych urządzeń peryferyjnych (drukarek, urządzeń sieciowych, standardów USB, Plug&amp;Play, Wi-Fi),</w:t>
      </w:r>
    </w:p>
    <w:p>
      <w:pPr>
        <w:pStyle w:val="Normal"/>
        <w:numPr>
          <w:ilvl w:val="0"/>
          <w:numId w:val="22"/>
        </w:numPr>
        <w:spacing w:lineRule="auto" w:line="240" w:before="0" w:after="0"/>
        <w:jc w:val="both"/>
        <w:rPr>
          <w:rFonts w:ascii="Times New Roman" w:hAnsi="Times New Roman"/>
        </w:rPr>
      </w:pPr>
      <w:bookmarkStart w:id="19" w:name="_heading=h.h70w6ugildu"/>
      <w:bookmarkEnd w:id="19"/>
      <w:r>
        <w:rPr>
          <w:sz w:val="24"/>
          <w:szCs w:val="24"/>
        </w:rPr>
        <w:t>Funkcjonalność automatycznej zmiany domyślnej drukarki w zależności od sieci, do której podłączony jest komputer,</w:t>
      </w:r>
    </w:p>
    <w:p>
      <w:pPr>
        <w:pStyle w:val="Normal"/>
        <w:numPr>
          <w:ilvl w:val="0"/>
          <w:numId w:val="22"/>
        </w:numPr>
        <w:spacing w:lineRule="auto" w:line="240" w:before="0" w:after="0"/>
        <w:jc w:val="both"/>
        <w:rPr>
          <w:rFonts w:ascii="Times New Roman" w:hAnsi="Times New Roman"/>
        </w:rPr>
      </w:pPr>
      <w:bookmarkStart w:id="20" w:name="_heading=h.1bhu1wmznxeu"/>
      <w:bookmarkEnd w:id="20"/>
      <w:r>
        <w:rPr>
          <w:sz w:val="24"/>
          <w:szCs w:val="24"/>
        </w:rPr>
        <w:t>Możliwość zarządzania stacją roboczą poprzez polityki grupowe – przez politykę rozumiemy zestaw reguł definiujących lub ograniczających funkcjonalność systemu lub aplikacji,</w:t>
      </w:r>
    </w:p>
    <w:p>
      <w:pPr>
        <w:pStyle w:val="Normal"/>
        <w:numPr>
          <w:ilvl w:val="0"/>
          <w:numId w:val="22"/>
        </w:numPr>
        <w:spacing w:lineRule="auto" w:line="240" w:before="0" w:after="0"/>
        <w:jc w:val="both"/>
        <w:rPr>
          <w:rFonts w:ascii="Times New Roman" w:hAnsi="Times New Roman"/>
        </w:rPr>
      </w:pPr>
      <w:bookmarkStart w:id="21" w:name="_heading=h.io80wv1ynsfw"/>
      <w:bookmarkEnd w:id="21"/>
      <w:r>
        <w:rPr>
          <w:sz w:val="24"/>
          <w:szCs w:val="24"/>
        </w:rPr>
        <w:t>Rozbudowane, definiowalne polityki bezpieczeństwa – polityki dla systemu operacyjnego i dla wskazanych aplikacji,</w:t>
      </w:r>
    </w:p>
    <w:p>
      <w:pPr>
        <w:pStyle w:val="Normal"/>
        <w:numPr>
          <w:ilvl w:val="0"/>
          <w:numId w:val="22"/>
        </w:numPr>
        <w:spacing w:lineRule="auto" w:line="240" w:before="0" w:after="0"/>
        <w:jc w:val="both"/>
        <w:rPr>
          <w:rFonts w:ascii="Times New Roman" w:hAnsi="Times New Roman"/>
        </w:rPr>
      </w:pPr>
      <w:bookmarkStart w:id="22" w:name="_heading=h.m1090j5ktj56"/>
      <w:bookmarkEnd w:id="22"/>
      <w:r>
        <w:rPr>
          <w:sz w:val="24"/>
          <w:szCs w:val="24"/>
        </w:rPr>
        <w:t>Możliwość zdalnej automatycznej instalacji, konfiguracji, administrowania oraz aktualizowania systemu, zgodnie z określonymi uprawnieniami poprzez polityki grupowe,</w:t>
      </w:r>
    </w:p>
    <w:p>
      <w:pPr>
        <w:pStyle w:val="Normal"/>
        <w:numPr>
          <w:ilvl w:val="0"/>
          <w:numId w:val="22"/>
        </w:numPr>
        <w:spacing w:lineRule="auto" w:line="240" w:before="0" w:after="0"/>
        <w:jc w:val="both"/>
        <w:rPr>
          <w:rFonts w:ascii="Times New Roman" w:hAnsi="Times New Roman"/>
        </w:rPr>
      </w:pPr>
      <w:bookmarkStart w:id="23" w:name="_heading=h.roo1xggz7hmv"/>
      <w:bookmarkEnd w:id="23"/>
      <w:r>
        <w:rPr>
          <w:sz w:val="24"/>
          <w:szCs w:val="24"/>
        </w:rPr>
        <w:t>Zabezpieczony hasłem hierarchiczny dostęp do systemu, konta i profile użytkowników zarządzane zdalnie; praca systemu w trybie ochrony kont użytkowników.</w:t>
      </w:r>
    </w:p>
    <w:p>
      <w:pPr>
        <w:pStyle w:val="Normal"/>
        <w:numPr>
          <w:ilvl w:val="0"/>
          <w:numId w:val="22"/>
        </w:numPr>
        <w:spacing w:lineRule="auto" w:line="240" w:before="0" w:after="0"/>
        <w:jc w:val="both"/>
        <w:rPr>
          <w:rFonts w:ascii="Times New Roman" w:hAnsi="Times New Roman"/>
        </w:rPr>
      </w:pPr>
      <w:bookmarkStart w:id="24" w:name="_heading=h.j7j0rqwv38q"/>
      <w:bookmarkEnd w:id="24"/>
      <w:r>
        <w:rPr>
          <w:sz w:val="24"/>
          <w:szCs w:val="24"/>
        </w:rPr>
        <w:t>Zintegrowany z systemem moduł wyszukiwania informacji (plików różnego typu, tekstów, metadanych) dostępny z kilku poziomów:</w:t>
      </w:r>
    </w:p>
    <w:p>
      <w:pPr>
        <w:pStyle w:val="Normal"/>
        <w:numPr>
          <w:ilvl w:val="1"/>
          <w:numId w:val="22"/>
        </w:numPr>
        <w:spacing w:lineRule="auto" w:line="240" w:before="0" w:after="0"/>
        <w:jc w:val="both"/>
        <w:rPr>
          <w:rFonts w:ascii="Times New Roman" w:hAnsi="Times New Roman"/>
        </w:rPr>
      </w:pPr>
      <w:bookmarkStart w:id="25" w:name="_heading=h.z1jiizidpz57"/>
      <w:bookmarkEnd w:id="25"/>
      <w:r>
        <w:rPr>
          <w:sz w:val="24"/>
          <w:szCs w:val="24"/>
        </w:rPr>
        <w:t>poziom menu, poziom otwartego okna systemu operacyjnego; system wyszukiwania oparty na konfigurowalnym przez użytkownika module indeksacji zasobów lokalnych,</w:t>
      </w:r>
    </w:p>
    <w:p>
      <w:pPr>
        <w:pStyle w:val="Normal"/>
        <w:numPr>
          <w:ilvl w:val="0"/>
          <w:numId w:val="22"/>
        </w:numPr>
        <w:spacing w:lineRule="auto" w:line="240" w:before="0" w:after="0"/>
        <w:jc w:val="both"/>
        <w:rPr>
          <w:rFonts w:ascii="Times New Roman" w:hAnsi="Times New Roman"/>
        </w:rPr>
      </w:pPr>
      <w:bookmarkStart w:id="26" w:name="_heading=h.segmwxefw6gi"/>
      <w:bookmarkEnd w:id="26"/>
      <w:r>
        <w:rPr>
          <w:sz w:val="24"/>
          <w:szCs w:val="24"/>
        </w:rPr>
        <w:t>Zintegrowany z systemem operacyjnym moduł synchronizacji komputera z urządzeniami zewnętrznymi.</w:t>
      </w:r>
    </w:p>
    <w:p>
      <w:pPr>
        <w:pStyle w:val="Normal"/>
        <w:numPr>
          <w:ilvl w:val="0"/>
          <w:numId w:val="22"/>
        </w:numPr>
        <w:spacing w:lineRule="auto" w:line="240" w:before="0" w:after="0"/>
        <w:jc w:val="both"/>
        <w:rPr>
          <w:rFonts w:ascii="Times New Roman" w:hAnsi="Times New Roman"/>
        </w:rPr>
      </w:pPr>
      <w:bookmarkStart w:id="27" w:name="_heading=h.h8ep9pyx8whl"/>
      <w:bookmarkEnd w:id="27"/>
      <w:r>
        <w:rPr>
          <w:sz w:val="24"/>
          <w:szCs w:val="24"/>
          <w:lang w:val="en-US"/>
        </w:rPr>
        <w:t>Obsługa standardu NFC (near field communication),</w:t>
      </w:r>
    </w:p>
    <w:p>
      <w:pPr>
        <w:pStyle w:val="Normal"/>
        <w:numPr>
          <w:ilvl w:val="0"/>
          <w:numId w:val="22"/>
        </w:numPr>
        <w:spacing w:lineRule="auto" w:line="240" w:before="0" w:after="0"/>
        <w:jc w:val="both"/>
        <w:rPr>
          <w:rFonts w:ascii="Times New Roman" w:hAnsi="Times New Roman"/>
        </w:rPr>
      </w:pPr>
      <w:bookmarkStart w:id="28" w:name="_heading=h.1bin97mw97sx"/>
      <w:bookmarkEnd w:id="28"/>
      <w:r>
        <w:rPr>
          <w:sz w:val="24"/>
          <w:szCs w:val="24"/>
        </w:rPr>
        <w:t>Możliwość przystosowania stanowiska dla osób niepełnosprawnych (np. słabo widzących);</w:t>
      </w:r>
    </w:p>
    <w:p>
      <w:pPr>
        <w:pStyle w:val="Normal"/>
        <w:numPr>
          <w:ilvl w:val="0"/>
          <w:numId w:val="22"/>
        </w:numPr>
        <w:spacing w:lineRule="auto" w:line="240" w:before="0" w:after="0"/>
        <w:jc w:val="both"/>
        <w:rPr>
          <w:rFonts w:ascii="Times New Roman" w:hAnsi="Times New Roman"/>
        </w:rPr>
      </w:pPr>
      <w:bookmarkStart w:id="29" w:name="_heading=h.gw9vfkj7kk3k"/>
      <w:bookmarkEnd w:id="29"/>
      <w:r>
        <w:rPr>
          <w:sz w:val="24"/>
          <w:szCs w:val="24"/>
        </w:rPr>
        <w:t>Wsparcie dla IPSEC oparte na politykach – wdrażanie IPSEC oparte na zestawach reguł definiujących ustawienia zarządzanych w sposób centralny;</w:t>
      </w:r>
    </w:p>
    <w:p>
      <w:pPr>
        <w:pStyle w:val="Normal"/>
        <w:numPr>
          <w:ilvl w:val="0"/>
          <w:numId w:val="22"/>
        </w:numPr>
        <w:spacing w:lineRule="auto" w:line="240" w:before="0" w:after="0"/>
        <w:jc w:val="both"/>
        <w:rPr>
          <w:rFonts w:ascii="Times New Roman" w:hAnsi="Times New Roman"/>
        </w:rPr>
      </w:pPr>
      <w:bookmarkStart w:id="30" w:name="_heading=h.ley50cim2pdt"/>
      <w:bookmarkEnd w:id="30"/>
      <w:r>
        <w:rPr>
          <w:sz w:val="24"/>
          <w:szCs w:val="24"/>
        </w:rPr>
        <w:t>Mechanizmy logowania do domeny w oparciu o:</w:t>
      </w:r>
    </w:p>
    <w:p>
      <w:pPr>
        <w:pStyle w:val="Normal"/>
        <w:numPr>
          <w:ilvl w:val="1"/>
          <w:numId w:val="22"/>
        </w:numPr>
        <w:spacing w:lineRule="auto" w:line="240" w:before="0" w:after="0"/>
        <w:jc w:val="both"/>
        <w:rPr>
          <w:rFonts w:ascii="Times New Roman" w:hAnsi="Times New Roman"/>
        </w:rPr>
      </w:pPr>
      <w:bookmarkStart w:id="31" w:name="_heading=h.e1x9e4czq4o9"/>
      <w:bookmarkEnd w:id="31"/>
      <w:r>
        <w:rPr>
          <w:sz w:val="24"/>
          <w:szCs w:val="24"/>
        </w:rPr>
        <w:t>Login i hasło,</w:t>
      </w:r>
    </w:p>
    <w:p>
      <w:pPr>
        <w:pStyle w:val="Normal"/>
        <w:numPr>
          <w:ilvl w:val="1"/>
          <w:numId w:val="22"/>
        </w:numPr>
        <w:spacing w:lineRule="auto" w:line="240" w:before="0" w:after="0"/>
        <w:jc w:val="both"/>
        <w:rPr>
          <w:rFonts w:ascii="Times New Roman" w:hAnsi="Times New Roman"/>
        </w:rPr>
      </w:pPr>
      <w:bookmarkStart w:id="32" w:name="_heading=h.5p22zodjnqte"/>
      <w:bookmarkEnd w:id="32"/>
      <w:r>
        <w:rPr>
          <w:sz w:val="24"/>
          <w:szCs w:val="24"/>
        </w:rPr>
        <w:t>Karty z certyfikatami (smartcard),</w:t>
      </w:r>
    </w:p>
    <w:p>
      <w:pPr>
        <w:pStyle w:val="Normal"/>
        <w:numPr>
          <w:ilvl w:val="1"/>
          <w:numId w:val="22"/>
        </w:numPr>
        <w:spacing w:lineRule="auto" w:line="240" w:before="0" w:after="0"/>
        <w:jc w:val="both"/>
        <w:rPr>
          <w:rFonts w:ascii="Times New Roman" w:hAnsi="Times New Roman"/>
        </w:rPr>
      </w:pPr>
      <w:bookmarkStart w:id="33" w:name="_heading=h.ns26om7qmb8q"/>
      <w:bookmarkEnd w:id="33"/>
      <w:r>
        <w:rPr>
          <w:sz w:val="24"/>
          <w:szCs w:val="24"/>
        </w:rPr>
        <w:t>Wirtualne karty (logowanie w oparciu o certyfikat chroniony poprzez moduł TPM),</w:t>
      </w:r>
    </w:p>
    <w:p>
      <w:pPr>
        <w:pStyle w:val="Normal"/>
        <w:numPr>
          <w:ilvl w:val="0"/>
          <w:numId w:val="22"/>
        </w:numPr>
        <w:spacing w:lineRule="auto" w:line="240" w:before="0" w:after="0"/>
        <w:jc w:val="both"/>
        <w:rPr>
          <w:rFonts w:ascii="Times New Roman" w:hAnsi="Times New Roman"/>
        </w:rPr>
      </w:pPr>
      <w:bookmarkStart w:id="34" w:name="_heading=h.tb51q2ghxwju"/>
      <w:bookmarkEnd w:id="34"/>
      <w:r>
        <w:rPr>
          <w:sz w:val="24"/>
          <w:szCs w:val="24"/>
        </w:rPr>
        <w:t>Mechanizmy wieloelementowego uwierzytelniania.</w:t>
      </w:r>
    </w:p>
    <w:p>
      <w:pPr>
        <w:pStyle w:val="Normal"/>
        <w:numPr>
          <w:ilvl w:val="0"/>
          <w:numId w:val="22"/>
        </w:numPr>
        <w:spacing w:lineRule="auto" w:line="240" w:before="0" w:after="0"/>
        <w:jc w:val="both"/>
        <w:rPr>
          <w:rFonts w:ascii="Times New Roman" w:hAnsi="Times New Roman"/>
        </w:rPr>
      </w:pPr>
      <w:bookmarkStart w:id="35" w:name="_heading=h.c3g4sn5jp1um"/>
      <w:bookmarkEnd w:id="35"/>
      <w:r>
        <w:rPr>
          <w:sz w:val="24"/>
          <w:szCs w:val="24"/>
        </w:rPr>
        <w:t>Wsparcie do uwierzytelnienia urządzenia na bazie certyfikatu,</w:t>
      </w:r>
    </w:p>
    <w:p>
      <w:pPr>
        <w:pStyle w:val="Normal"/>
        <w:numPr>
          <w:ilvl w:val="0"/>
          <w:numId w:val="22"/>
        </w:numPr>
        <w:spacing w:lineRule="auto" w:line="240" w:before="0" w:after="0"/>
        <w:jc w:val="both"/>
        <w:rPr>
          <w:rFonts w:ascii="Times New Roman" w:hAnsi="Times New Roman"/>
        </w:rPr>
      </w:pPr>
      <w:bookmarkStart w:id="36" w:name="_heading=h.4vp42uyk34v9"/>
      <w:bookmarkEnd w:id="36"/>
      <w:r>
        <w:rPr>
          <w:sz w:val="24"/>
          <w:szCs w:val="24"/>
        </w:rPr>
        <w:t>Wsparcie wbudowanej zapory ogniowej dla Internet Key Exchange v. 2 (IKEv2) dla warstwy transportowej IPsec,</w:t>
      </w:r>
    </w:p>
    <w:p>
      <w:pPr>
        <w:pStyle w:val="Normal"/>
        <w:numPr>
          <w:ilvl w:val="0"/>
          <w:numId w:val="22"/>
        </w:numPr>
        <w:spacing w:lineRule="auto" w:line="240" w:before="0" w:after="0"/>
        <w:jc w:val="both"/>
        <w:rPr>
          <w:rFonts w:ascii="Times New Roman" w:hAnsi="Times New Roman"/>
        </w:rPr>
      </w:pPr>
      <w:bookmarkStart w:id="37" w:name="_heading=h.y9128p9mq66q"/>
      <w:bookmarkEnd w:id="37"/>
      <w:r>
        <w:rPr>
          <w:sz w:val="24"/>
          <w:szCs w:val="24"/>
        </w:rPr>
        <w:t>Wbudowane narzędzia służące do administracji, do wykonywania kopii zapasowych polityk i ich odtwarzania oraz generowania raportów z ustawień polityk;</w:t>
      </w:r>
    </w:p>
    <w:p>
      <w:pPr>
        <w:pStyle w:val="Normal"/>
        <w:numPr>
          <w:ilvl w:val="0"/>
          <w:numId w:val="22"/>
        </w:numPr>
        <w:spacing w:lineRule="auto" w:line="240" w:before="0" w:after="0"/>
        <w:jc w:val="both"/>
        <w:rPr>
          <w:rFonts w:ascii="Times New Roman" w:hAnsi="Times New Roman"/>
        </w:rPr>
      </w:pPr>
      <w:bookmarkStart w:id="38" w:name="_heading=h.jy3a89sepwv2"/>
      <w:bookmarkEnd w:id="38"/>
      <w:r>
        <w:rPr>
          <w:sz w:val="24"/>
          <w:szCs w:val="24"/>
        </w:rPr>
        <w:t>Wsparcie dla środowisk Java i .NET Framework 4.x – możliwość uruchomienia aplikacji działających we wskazanych środowiskach,</w:t>
      </w:r>
    </w:p>
    <w:p>
      <w:pPr>
        <w:pStyle w:val="Normal"/>
        <w:numPr>
          <w:ilvl w:val="0"/>
          <w:numId w:val="22"/>
        </w:numPr>
        <w:spacing w:lineRule="auto" w:line="240" w:before="0" w:after="0"/>
        <w:jc w:val="both"/>
        <w:rPr>
          <w:rFonts w:ascii="Times New Roman" w:hAnsi="Times New Roman"/>
        </w:rPr>
      </w:pPr>
      <w:bookmarkStart w:id="39" w:name="_heading=h.qui2bbtk21c0"/>
      <w:bookmarkEnd w:id="39"/>
      <w:r>
        <w:rPr>
          <w:sz w:val="24"/>
          <w:szCs w:val="24"/>
        </w:rPr>
        <w:t>Wsparcie dla JScript i VBScript – możliwość uruchamiania interpretera poleceń,</w:t>
      </w:r>
    </w:p>
    <w:p>
      <w:pPr>
        <w:pStyle w:val="Normal"/>
        <w:numPr>
          <w:ilvl w:val="0"/>
          <w:numId w:val="22"/>
        </w:numPr>
        <w:spacing w:lineRule="auto" w:line="240" w:before="0" w:after="0"/>
        <w:jc w:val="both"/>
        <w:rPr>
          <w:rFonts w:ascii="Times New Roman" w:hAnsi="Times New Roman"/>
        </w:rPr>
      </w:pPr>
      <w:bookmarkStart w:id="40" w:name="_heading=h.2dio4wmkw6bj"/>
      <w:bookmarkEnd w:id="40"/>
      <w:r>
        <w:rPr>
          <w:sz w:val="24"/>
          <w:szCs w:val="24"/>
        </w:rPr>
        <w:t>Zdalna pomoc i współdzielenie aplikacji – możliwość zdalnego przejęcia sesji zalogowanego użytkownika celem rozwiązania problemu z komputerem,</w:t>
      </w:r>
    </w:p>
    <w:p>
      <w:pPr>
        <w:pStyle w:val="Normal"/>
        <w:numPr>
          <w:ilvl w:val="0"/>
          <w:numId w:val="22"/>
        </w:numPr>
        <w:spacing w:lineRule="auto" w:line="240" w:before="0" w:after="0"/>
        <w:jc w:val="both"/>
        <w:rPr>
          <w:rFonts w:ascii="Times New Roman" w:hAnsi="Times New Roman"/>
        </w:rPr>
      </w:pPr>
      <w:bookmarkStart w:id="41" w:name="_heading=h.fbioh4hfch7s"/>
      <w:bookmarkEnd w:id="41"/>
      <w:r>
        <w:rPr>
          <w:sz w:val="24"/>
          <w:szCs w:val="24"/>
        </w:rPr>
        <w:t>Rozwiązanie służące do automatycznego zbudowania obrazu systemu wraz z aplikacjami. Obraz systemu służyć ma do automatycznego upowszechnienia systemu operacyjnego inicjowanego i wykonywanego w całości poprzez sieć komputerową,</w:t>
      </w:r>
    </w:p>
    <w:p>
      <w:pPr>
        <w:pStyle w:val="Normal"/>
        <w:numPr>
          <w:ilvl w:val="0"/>
          <w:numId w:val="22"/>
        </w:numPr>
        <w:spacing w:lineRule="auto" w:line="240" w:before="0" w:after="0"/>
        <w:jc w:val="both"/>
        <w:rPr>
          <w:rFonts w:ascii="Times New Roman" w:hAnsi="Times New Roman"/>
        </w:rPr>
      </w:pPr>
      <w:bookmarkStart w:id="42" w:name="_heading=h.gmkcltiidjbq"/>
      <w:bookmarkEnd w:id="42"/>
      <w:r>
        <w:rPr>
          <w:sz w:val="24"/>
          <w:szCs w:val="24"/>
        </w:rPr>
        <w:t>Rozwiązanie ma umożliwiające wdrożenie nowego obrazu poprzez zdalną instalację,</w:t>
      </w:r>
    </w:p>
    <w:p>
      <w:pPr>
        <w:pStyle w:val="Normal"/>
        <w:numPr>
          <w:ilvl w:val="0"/>
          <w:numId w:val="22"/>
        </w:numPr>
        <w:spacing w:lineRule="auto" w:line="240" w:before="0" w:after="0"/>
        <w:jc w:val="both"/>
        <w:rPr>
          <w:rFonts w:ascii="Times New Roman" w:hAnsi="Times New Roman"/>
        </w:rPr>
      </w:pPr>
      <w:bookmarkStart w:id="43" w:name="_heading=h.rn63whmdndeh"/>
      <w:bookmarkEnd w:id="43"/>
      <w:r>
        <w:rPr>
          <w:sz w:val="24"/>
          <w:szCs w:val="24"/>
        </w:rPr>
        <w:t>Transakcyjny system plików pozwalający na stosowanie przydziałów (ang. quota) na dysku dla użytkowników oraz zapewniający większą niezawodność i pozwalający tworzyć kopie zapasowe,</w:t>
      </w:r>
    </w:p>
    <w:p>
      <w:pPr>
        <w:pStyle w:val="Normal"/>
        <w:numPr>
          <w:ilvl w:val="0"/>
          <w:numId w:val="22"/>
        </w:numPr>
        <w:spacing w:lineRule="auto" w:line="240" w:before="0" w:after="0"/>
        <w:jc w:val="both"/>
        <w:rPr>
          <w:rFonts w:ascii="Times New Roman" w:hAnsi="Times New Roman"/>
        </w:rPr>
      </w:pPr>
      <w:bookmarkStart w:id="44" w:name="_heading=h.cvwz2nu0jbgc"/>
      <w:bookmarkEnd w:id="44"/>
      <w:r>
        <w:rPr>
          <w:sz w:val="24"/>
          <w:szCs w:val="24"/>
        </w:rPr>
        <w:t>Zarządzanie kontami użytkowników sieci oraz urządzeniami sieciowymi tj. drukarki, modemy, woluminy dyskowe, usługi katalogowe.</w:t>
      </w:r>
    </w:p>
    <w:p>
      <w:pPr>
        <w:pStyle w:val="Normal"/>
        <w:numPr>
          <w:ilvl w:val="0"/>
          <w:numId w:val="22"/>
        </w:numPr>
        <w:spacing w:lineRule="auto" w:line="240" w:before="0" w:after="0"/>
        <w:jc w:val="both"/>
        <w:rPr>
          <w:rFonts w:ascii="Times New Roman" w:hAnsi="Times New Roman"/>
        </w:rPr>
      </w:pPr>
      <w:bookmarkStart w:id="45" w:name="_heading=h.s4mk1ncuvpp0"/>
      <w:bookmarkEnd w:id="45"/>
      <w:r>
        <w:rPr>
          <w:sz w:val="24"/>
          <w:szCs w:val="24"/>
        </w:rPr>
        <w:t>Oprogramowanie dla tworzenia kopii zapasowych (Backup); automatyczne wykonywanie kopii plików z możliwością automatycznego przywrócenia wersji wcześniejszej,</w:t>
      </w:r>
    </w:p>
    <w:p>
      <w:pPr>
        <w:pStyle w:val="Normal"/>
        <w:numPr>
          <w:ilvl w:val="0"/>
          <w:numId w:val="22"/>
        </w:numPr>
        <w:spacing w:lineRule="auto" w:line="240" w:before="0" w:after="0"/>
        <w:jc w:val="both"/>
        <w:rPr>
          <w:rFonts w:ascii="Times New Roman" w:hAnsi="Times New Roman"/>
        </w:rPr>
      </w:pPr>
      <w:bookmarkStart w:id="46" w:name="_heading=h.8bgis8d84k2q"/>
      <w:bookmarkEnd w:id="46"/>
      <w:r>
        <w:rPr>
          <w:sz w:val="24"/>
          <w:szCs w:val="24"/>
        </w:rPr>
        <w:t>Możliwość przywracania obrazu plików systemowych do uprzednio zapisanej postaci,</w:t>
      </w:r>
    </w:p>
    <w:p>
      <w:pPr>
        <w:pStyle w:val="Normal"/>
        <w:numPr>
          <w:ilvl w:val="0"/>
          <w:numId w:val="22"/>
        </w:numPr>
        <w:spacing w:lineRule="auto" w:line="240" w:before="0" w:after="0"/>
        <w:jc w:val="both"/>
        <w:rPr>
          <w:rFonts w:ascii="Times New Roman" w:hAnsi="Times New Roman"/>
        </w:rPr>
      </w:pPr>
      <w:bookmarkStart w:id="47" w:name="_heading=h.u3g3yh6j8yk"/>
      <w:bookmarkEnd w:id="47"/>
      <w:r>
        <w:rPr>
          <w:sz w:val="24"/>
          <w:szCs w:val="24"/>
        </w:rPr>
        <w:t>Identyfikacja sieci komputerowych, do których jest podłączony system operacyjny, zapamiętywanie ustawień i przypisywanie do min. 3 kategorii bezpieczeństwa (z predefiniowanymi odpowiednio do kategorii ustawieniami zapory sieciowej, udostępniania plików itp.),</w:t>
      </w:r>
    </w:p>
    <w:p>
      <w:pPr>
        <w:pStyle w:val="Normal"/>
        <w:numPr>
          <w:ilvl w:val="0"/>
          <w:numId w:val="22"/>
        </w:numPr>
        <w:spacing w:lineRule="auto" w:line="240" w:before="0" w:after="0"/>
        <w:jc w:val="both"/>
        <w:rPr>
          <w:rFonts w:ascii="Times New Roman" w:hAnsi="Times New Roman"/>
        </w:rPr>
      </w:pPr>
      <w:bookmarkStart w:id="48" w:name="_heading=h.g9vz151k6up1"/>
      <w:bookmarkEnd w:id="48"/>
      <w:r>
        <w:rPr>
          <w:sz w:val="24"/>
          <w:szCs w:val="24"/>
        </w:rPr>
        <w:t>Możliwość blokowania lub dopuszczania dowolnych urządzeń peryferyjnych za pomocą polityk grupowych (np. przy użyciu numerów identyfikacyjnych sprzętu),</w:t>
      </w:r>
    </w:p>
    <w:p>
      <w:pPr>
        <w:pStyle w:val="Normal"/>
        <w:numPr>
          <w:ilvl w:val="0"/>
          <w:numId w:val="22"/>
        </w:numPr>
        <w:spacing w:lineRule="auto" w:line="240" w:before="0" w:after="0"/>
        <w:jc w:val="both"/>
        <w:rPr>
          <w:rFonts w:ascii="Times New Roman" w:hAnsi="Times New Roman"/>
        </w:rPr>
      </w:pPr>
      <w:bookmarkStart w:id="49" w:name="_heading=h.6b2r5275vwy7"/>
      <w:bookmarkEnd w:id="49"/>
      <w:r>
        <w:rPr>
          <w:sz w:val="24"/>
          <w:szCs w:val="24"/>
        </w:rPr>
        <w:t>Wbudowany mechanizm wirtualizacji typu hypervisor, umożliwiający, zgodnie z uprawnieniami licencyjnymi, uruchomienie do 4 maszyn wirtualnych,</w:t>
      </w:r>
    </w:p>
    <w:p>
      <w:pPr>
        <w:pStyle w:val="Normal"/>
        <w:numPr>
          <w:ilvl w:val="0"/>
          <w:numId w:val="22"/>
        </w:numPr>
        <w:spacing w:lineRule="auto" w:line="240" w:before="0" w:after="0"/>
        <w:jc w:val="both"/>
        <w:rPr>
          <w:rFonts w:ascii="Times New Roman" w:hAnsi="Times New Roman"/>
        </w:rPr>
      </w:pPr>
      <w:bookmarkStart w:id="50" w:name="_heading=h.wrqo1zii7em9"/>
      <w:bookmarkEnd w:id="50"/>
      <w:r>
        <w:rPr>
          <w:sz w:val="24"/>
          <w:szCs w:val="24"/>
        </w:rPr>
        <w:t>Mechanizm szyfrowania dysków wewnętrznych i zewnętrznych z możliwością szyfrowania ograniczonego do danych użytkownika,</w:t>
      </w:r>
    </w:p>
    <w:p>
      <w:pPr>
        <w:pStyle w:val="Normal"/>
        <w:numPr>
          <w:ilvl w:val="0"/>
          <w:numId w:val="22"/>
        </w:numPr>
        <w:spacing w:lineRule="auto" w:line="240" w:before="0" w:after="0"/>
        <w:jc w:val="both"/>
        <w:rPr>
          <w:rFonts w:ascii="Times New Roman" w:hAnsi="Times New Roman"/>
        </w:rPr>
      </w:pPr>
      <w:bookmarkStart w:id="51" w:name="_heading=h.qs0tgds84d1w"/>
      <w:bookmarkEnd w:id="51"/>
      <w:r>
        <w:rPr>
          <w:sz w:val="24"/>
          <w:szCs w:val="24"/>
        </w:rPr>
        <w:t>Wbudowane w system narzędzie do szyfrowania partycji systemowych komputera, z możliwością przechowywania certyfikatów w mikrochipie TPM (Trusted Platform Module) w wersji minimum 1.2 lub na kluczach pamięci przenośnej USB.</w:t>
      </w:r>
    </w:p>
    <w:p>
      <w:pPr>
        <w:pStyle w:val="Normal"/>
        <w:numPr>
          <w:ilvl w:val="0"/>
          <w:numId w:val="22"/>
        </w:numPr>
        <w:spacing w:lineRule="auto" w:line="240" w:before="0" w:after="0"/>
        <w:jc w:val="both"/>
        <w:rPr>
          <w:rFonts w:ascii="Times New Roman" w:hAnsi="Times New Roman"/>
        </w:rPr>
      </w:pPr>
      <w:bookmarkStart w:id="52" w:name="_heading=h.m13rxd5r2ztz"/>
      <w:bookmarkEnd w:id="52"/>
      <w:r>
        <w:rPr>
          <w:sz w:val="24"/>
          <w:szCs w:val="24"/>
        </w:rPr>
        <w:t>Wbudowane w system narzędzie do szyfrowania dysków przenośnych, z możliwością centralnego zarządzania poprzez polityki grupowe, pozwalające na wymuszenie szyfrowania dysków przenośnych</w:t>
      </w:r>
    </w:p>
    <w:p>
      <w:pPr>
        <w:pStyle w:val="Normal"/>
        <w:numPr>
          <w:ilvl w:val="0"/>
          <w:numId w:val="22"/>
        </w:numPr>
        <w:spacing w:lineRule="auto" w:line="240" w:before="0" w:after="0"/>
        <w:jc w:val="both"/>
        <w:rPr>
          <w:rFonts w:ascii="Times New Roman" w:hAnsi="Times New Roman"/>
        </w:rPr>
      </w:pPr>
      <w:bookmarkStart w:id="53" w:name="_heading=h.jt887gtueg2z"/>
      <w:bookmarkEnd w:id="53"/>
      <w:r>
        <w:rPr>
          <w:sz w:val="24"/>
          <w:szCs w:val="24"/>
        </w:rPr>
        <w:t>Możliwość tworzenia i przechowywania kopii zapasowych kluczy odzyskiwania do szyfrowania partycji w usługach katalogowych.</w:t>
      </w:r>
    </w:p>
    <w:p>
      <w:pPr>
        <w:pStyle w:val="Normal"/>
        <w:numPr>
          <w:ilvl w:val="0"/>
          <w:numId w:val="22"/>
        </w:numPr>
        <w:spacing w:lineRule="auto" w:line="240" w:before="0" w:after="0"/>
        <w:jc w:val="both"/>
        <w:rPr>
          <w:rFonts w:ascii="Times New Roman" w:hAnsi="Times New Roman"/>
        </w:rPr>
      </w:pPr>
      <w:bookmarkStart w:id="54" w:name="_heading=h.z55q8hhal3nu"/>
      <w:bookmarkEnd w:id="54"/>
      <w:r>
        <w:rPr>
          <w:sz w:val="24"/>
          <w:szCs w:val="24"/>
        </w:rPr>
        <w:t>Możliwość instalowania dodatkowych języków interfejsu systemu operacyjnego oraz możliwość zmiany języka bez konieczności reinstalacji systemu.</w:t>
      </w:r>
    </w:p>
    <w:p>
      <w:pPr>
        <w:pStyle w:val="Normal"/>
        <w:spacing w:lineRule="auto" w:line="240" w:before="0" w:after="0"/>
        <w:jc w:val="both"/>
        <w:rPr>
          <w:rFonts w:ascii="Times New Roman" w:hAnsi="Times New Roman"/>
        </w:rPr>
      </w:pPr>
      <w:r>
        <w:rPr/>
      </w:r>
    </w:p>
    <w:sectPr>
      <w:footerReference w:type="default" r:id="rId6"/>
      <w:type w:val="nextPage"/>
      <w:pgSz w:w="11906" w:h="16838"/>
      <w:pgMar w:left="1417" w:right="1417" w:header="0" w:top="1134" w:footer="708" w:bottom="99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libri Light">
    <w:charset w:val="ee"/>
    <w:family w:val="roman"/>
    <w:pitch w:val="variable"/>
  </w:font>
  <w:font w:name="Segoe UI">
    <w:charset w:val="ee"/>
    <w:family w:val="roman"/>
    <w:pitch w:val="variable"/>
  </w:font>
  <w:font w:name="Liberation Sans">
    <w:altName w:val="Arial"/>
    <w:charset w:val="ee"/>
    <w:family w:val="roman"/>
    <w:pitch w:val="variable"/>
  </w:font>
  <w:font w:name="Bookman Old Style">
    <w:charset w:val="ee"/>
    <w:family w:val="roman"/>
    <w:pitch w:val="variable"/>
  </w:font>
  <w:font w:name="Cambria">
    <w:charset w:val="ee"/>
    <w:family w:val="roman"/>
    <w:pitch w:val="variable"/>
  </w:font>
  <w:font w:name="Wingdings">
    <w:charset w:val="02"/>
    <w:family w:val="auto"/>
    <w:pitch w:val="variable"/>
  </w:font>
  <w:font w:name="Times New Roman">
    <w:charset w:val="01"/>
    <w:family w:val="roman"/>
    <w:pitch w:val="variable"/>
  </w:font>
  <w:font w:name="Courier New">
    <w:charset w:val="01"/>
    <w:family w:val="modern"/>
    <w:pitch w:val="fixed"/>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ind w:right="360" w:hanging="0"/>
      <w:rPr/>
    </w:pPr>
    <w:r>
      <w:rPr/>
      <mc:AlternateContent>
        <mc:Choice Requires="wps">
          <w:drawing>
            <wp:anchor behindDoc="1" distT="0" distB="0" distL="0" distR="0" simplePos="0" locked="0" layoutInCell="0" allowOverlap="1" relativeHeight="19">
              <wp:simplePos x="0" y="0"/>
              <wp:positionH relativeFrom="margin">
                <wp:align>right</wp:align>
              </wp:positionH>
              <wp:positionV relativeFrom="paragraph">
                <wp:posOffset>635</wp:posOffset>
              </wp:positionV>
              <wp:extent cx="160020" cy="174625"/>
              <wp:effectExtent l="0" t="0" r="0" b="0"/>
              <wp:wrapSquare wrapText="bothSides"/>
              <wp:docPr id="1" name="Ramka1"/>
              <a:graphic xmlns:a="http://schemas.openxmlformats.org/drawingml/2006/main">
                <a:graphicData uri="http://schemas.microsoft.com/office/word/2010/wordprocessingShape">
                  <wps:wsp>
                    <wps:cNvSpPr/>
                    <wps:spPr>
                      <a:xfrm>
                        <a:off x="0" y="0"/>
                        <a:ext cx="159480" cy="173880"/>
                      </a:xfrm>
                      <a:prstGeom prst="rect">
                        <a:avLst/>
                      </a:prstGeom>
                      <a:noFill/>
                      <a:ln w="0">
                        <a:noFill/>
                      </a:ln>
                    </wps:spPr>
                    <wps:style>
                      <a:lnRef idx="0"/>
                      <a:fillRef idx="0"/>
                      <a:effectRef idx="0"/>
                      <a:fontRef idx="minor"/>
                    </wps:style>
                    <wps:txbx>
                      <w:txbxContent>
                        <w:p>
                          <w:pPr>
                            <w:pStyle w:val="Stopka"/>
                            <w:rPr>
                              <w:rStyle w:val="Pagenumber"/>
                            </w:rPr>
                          </w:pPr>
                          <w:r>
                            <w:rPr>
                              <w:rStyle w:val="Pagenumber"/>
                              <w:color w:val="000000"/>
                            </w:rPr>
                            <w:fldChar w:fldCharType="begin"/>
                          </w:r>
                          <w:r>
                            <w:rPr>
                              <w:rStyle w:val="Pagenumber"/>
                              <w:color w:val="000000"/>
                            </w:rPr>
                            <w:instrText> PAGE </w:instrText>
                          </w:r>
                          <w:r>
                            <w:rPr>
                              <w:rStyle w:val="Pagenumber"/>
                              <w:color w:val="000000"/>
                            </w:rPr>
                            <w:fldChar w:fldCharType="separate"/>
                          </w:r>
                          <w:r>
                            <w:rPr>
                              <w:rStyle w:val="Pagenumber"/>
                              <w:color w:val="000000"/>
                            </w:rPr>
                            <w:t>10</w:t>
                          </w:r>
                          <w:r>
                            <w:rPr>
                              <w:rStyle w:val="Pagenumber"/>
                              <w:color w:val="000000"/>
                            </w:rPr>
                            <w:fldChar w:fldCharType="end"/>
                          </w:r>
                        </w:p>
                      </w:txbxContent>
                    </wps:txbx>
                    <wps:bodyPr lIns="0" rIns="0" tIns="0" bIns="0">
                      <a:spAutoFit/>
                    </wps:bodyPr>
                  </wps:wsp>
                </a:graphicData>
              </a:graphic>
            </wp:anchor>
          </w:drawing>
        </mc:Choice>
        <mc:Fallback>
          <w:pict>
            <v:rect id="shape_0" ID="Ramka1" stroked="f" style="position:absolute;margin-left:441pt;margin-top:0.05pt;width:12.5pt;height:13.65pt;v-text-anchor:top;mso-position-horizontal:right;mso-position-horizontal-relative:margin">
              <w10:wrap type="square"/>
              <v:fill o:detectmouseclick="t" on="false"/>
              <v:stroke color="#3465a4" joinstyle="round" endcap="flat"/>
              <v:textbox>
                <w:txbxContent>
                  <w:p>
                    <w:pPr>
                      <w:pStyle w:val="Stopka"/>
                      <w:rPr>
                        <w:rStyle w:val="Pagenumber"/>
                      </w:rPr>
                    </w:pPr>
                    <w:r>
                      <w:rPr>
                        <w:rStyle w:val="Pagenumber"/>
                        <w:color w:val="000000"/>
                      </w:rPr>
                      <w:fldChar w:fldCharType="begin"/>
                    </w:r>
                    <w:r>
                      <w:rPr>
                        <w:rStyle w:val="Pagenumber"/>
                        <w:color w:val="000000"/>
                      </w:rPr>
                      <w:instrText> PAGE </w:instrText>
                    </w:r>
                    <w:r>
                      <w:rPr>
                        <w:rStyle w:val="Pagenumber"/>
                        <w:color w:val="000000"/>
                      </w:rPr>
                      <w:fldChar w:fldCharType="separate"/>
                    </w:r>
                    <w:r>
                      <w:rPr>
                        <w:rStyle w:val="Pagenumber"/>
                        <w:color w:val="000000"/>
                      </w:rPr>
                      <w:t>10</w:t>
                    </w:r>
                    <w:r>
                      <w:rPr>
                        <w:rStyle w:val="Pagenumber"/>
                        <w:color w:val="000000"/>
                      </w:rPr>
                      <w:fldChar w:fldCharType="end"/>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ind w:right="360" w:hanging="0"/>
      <w:rPr/>
    </w:pPr>
    <w:r>
      <w:rPr/>
      <mc:AlternateContent>
        <mc:Choice Requires="wps">
          <w:drawing>
            <wp:anchor behindDoc="1" distT="0" distB="0" distL="0" distR="0" simplePos="0" locked="0" layoutInCell="0" allowOverlap="1" relativeHeight="9">
              <wp:simplePos x="0" y="0"/>
              <wp:positionH relativeFrom="margin">
                <wp:align>right</wp:align>
              </wp:positionH>
              <wp:positionV relativeFrom="paragraph">
                <wp:posOffset>635</wp:posOffset>
              </wp:positionV>
              <wp:extent cx="160020" cy="174625"/>
              <wp:effectExtent l="0" t="0" r="0" b="0"/>
              <wp:wrapSquare wrapText="bothSides"/>
              <wp:docPr id="3" name="Ramka1"/>
              <a:graphic xmlns:a="http://schemas.openxmlformats.org/drawingml/2006/main">
                <a:graphicData uri="http://schemas.microsoft.com/office/word/2010/wordprocessingShape">
                  <wps:wsp>
                    <wps:cNvSpPr/>
                    <wps:spPr>
                      <a:xfrm>
                        <a:off x="0" y="0"/>
                        <a:ext cx="159480" cy="173880"/>
                      </a:xfrm>
                      <a:prstGeom prst="rect">
                        <a:avLst/>
                      </a:prstGeom>
                      <a:noFill/>
                      <a:ln w="0">
                        <a:noFill/>
                      </a:ln>
                    </wps:spPr>
                    <wps:style>
                      <a:lnRef idx="0"/>
                      <a:fillRef idx="0"/>
                      <a:effectRef idx="0"/>
                      <a:fontRef idx="minor"/>
                    </wps:style>
                    <wps:txbx>
                      <w:txbxContent>
                        <w:p>
                          <w:pPr>
                            <w:pStyle w:val="Stopka"/>
                            <w:rPr>
                              <w:rStyle w:val="Pagenumber"/>
                            </w:rPr>
                          </w:pPr>
                          <w:r>
                            <w:rPr>
                              <w:rStyle w:val="Pagenumber"/>
                              <w:color w:val="000000"/>
                            </w:rPr>
                            <w:fldChar w:fldCharType="begin"/>
                          </w:r>
                          <w:r>
                            <w:rPr>
                              <w:rStyle w:val="Pagenumber"/>
                              <w:color w:val="000000"/>
                            </w:rPr>
                            <w:instrText> PAGE </w:instrText>
                          </w:r>
                          <w:r>
                            <w:rPr>
                              <w:rStyle w:val="Pagenumber"/>
                              <w:color w:val="000000"/>
                            </w:rPr>
                            <w:fldChar w:fldCharType="separate"/>
                          </w:r>
                          <w:r>
                            <w:rPr>
                              <w:rStyle w:val="Pagenumber"/>
                              <w:color w:val="000000"/>
                            </w:rPr>
                            <w:t>17</w:t>
                          </w:r>
                          <w:r>
                            <w:rPr>
                              <w:rStyle w:val="Pagenumber"/>
                              <w:color w:val="000000"/>
                            </w:rPr>
                            <w:fldChar w:fldCharType="end"/>
                          </w:r>
                        </w:p>
                      </w:txbxContent>
                    </wps:txbx>
                    <wps:bodyPr lIns="0" rIns="0" tIns="0" bIns="0">
                      <a:spAutoFit/>
                    </wps:bodyPr>
                  </wps:wsp>
                </a:graphicData>
              </a:graphic>
            </wp:anchor>
          </w:drawing>
        </mc:Choice>
        <mc:Fallback>
          <w:pict>
            <v:rect id="shape_0" ID="Ramka1" stroked="f" style="position:absolute;margin-left:441pt;margin-top:0.05pt;width:12.5pt;height:13.65pt;v-text-anchor:top;mso-position-horizontal:right;mso-position-horizontal-relative:margin">
              <w10:wrap type="square"/>
              <v:fill o:detectmouseclick="t" on="false"/>
              <v:stroke color="#3465a4" joinstyle="round" endcap="flat"/>
              <v:textbox>
                <w:txbxContent>
                  <w:p>
                    <w:pPr>
                      <w:pStyle w:val="Stopka"/>
                      <w:rPr>
                        <w:rStyle w:val="Pagenumber"/>
                      </w:rPr>
                    </w:pPr>
                    <w:r>
                      <w:rPr>
                        <w:rStyle w:val="Pagenumber"/>
                        <w:color w:val="000000"/>
                      </w:rPr>
                      <w:fldChar w:fldCharType="begin"/>
                    </w:r>
                    <w:r>
                      <w:rPr>
                        <w:rStyle w:val="Pagenumber"/>
                        <w:color w:val="000000"/>
                      </w:rPr>
                      <w:instrText> PAGE </w:instrText>
                    </w:r>
                    <w:r>
                      <w:rPr>
                        <w:rStyle w:val="Pagenumber"/>
                        <w:color w:val="000000"/>
                      </w:rPr>
                      <w:fldChar w:fldCharType="separate"/>
                    </w:r>
                    <w:r>
                      <w:rPr>
                        <w:rStyle w:val="Pagenumber"/>
                        <w:color w:val="000000"/>
                      </w:rPr>
                      <w:t>17</w:t>
                    </w:r>
                    <w:r>
                      <w:rPr>
                        <w:rStyle w:val="Pagenumber"/>
                        <w:color w:val="000000"/>
                      </w:rPr>
                      <w:fldChar w:fldCharType="end"/>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Nagwek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pStyle w:val="Nagwek6"/>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2880"/>
        </w:tabs>
        <w:ind w:left="2880" w:hanging="360"/>
      </w:pPr>
      <w:rPr>
        <w:b w:val="false"/>
        <w:rFonts w:ascii="Calibri Light" w:hAnsi="Calibri Light" w:eastAsia="Times New Roman" w:cs="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lvl w:ilvl="0">
      <w:start w:val="1"/>
      <w:numFmt w:val="decimal"/>
      <w:lvlText w:val="%1."/>
      <w:lvlJc w:val="left"/>
      <w:pPr>
        <w:tabs>
          <w:tab w:val="num" w:pos="2880"/>
        </w:tabs>
        <w:ind w:left="2880" w:hanging="360"/>
      </w:pPr>
      <w:rPr>
        <w:rFonts w:ascii="Calibri Light" w:hAnsi="Calibri Light" w:eastAsia="Times New Roman" w:cs="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lvl w:ilvl="0">
      <w:start w:val="1"/>
      <w:numFmt w:val="decimal"/>
      <w:lvlText w:val="%1."/>
      <w:lvlJc w:val="left"/>
      <w:pPr>
        <w:tabs>
          <w:tab w:val="num" w:pos="360"/>
        </w:tabs>
        <w:ind w:left="360" w:hanging="360"/>
      </w:pPr>
      <w:rPr>
        <w:rFonts w:ascii="Times New Roman" w:hAnsi="Times New Roman" w:eastAsia="Times New Roman" w:cs="Times New Roman"/>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3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1080"/>
        </w:tabs>
        <w:ind w:left="1080" w:hanging="360"/>
      </w:pPr>
    </w:lvl>
    <w:lvl w:ilvl="5">
      <w:start w:val="1"/>
      <w:numFmt w:val="lowerRoman"/>
      <w:lvlText w:val="%6."/>
      <w:lvlJc w:val="right"/>
      <w:pPr>
        <w:tabs>
          <w:tab w:val="num" w:pos="1800"/>
        </w:tabs>
        <w:ind w:left="1800" w:hanging="180"/>
      </w:pPr>
    </w:lvl>
    <w:lvl w:ilvl="6">
      <w:start w:val="1"/>
      <w:numFmt w:val="decimal"/>
      <w:lvlText w:val="%7."/>
      <w:lvlJc w:val="left"/>
      <w:pPr>
        <w:tabs>
          <w:tab w:val="num" w:pos="2520"/>
        </w:tabs>
        <w:ind w:left="2520" w:hanging="360"/>
      </w:pPr>
    </w:lvl>
    <w:lvl w:ilvl="7">
      <w:start w:val="1"/>
      <w:numFmt w:val="lowerLetter"/>
      <w:lvlText w:val="%8."/>
      <w:lvlJc w:val="left"/>
      <w:pPr>
        <w:tabs>
          <w:tab w:val="num" w:pos="3240"/>
        </w:tabs>
        <w:ind w:left="3240" w:hanging="360"/>
      </w:pPr>
    </w:lvl>
    <w:lvl w:ilvl="8">
      <w:start w:val="1"/>
      <w:numFmt w:val="lowerRoman"/>
      <w:lvlText w:val="%9."/>
      <w:lvlJc w:val="right"/>
      <w:pPr>
        <w:tabs>
          <w:tab w:val="num" w:pos="3960"/>
        </w:tabs>
        <w:ind w:left="3960" w:hanging="180"/>
      </w:pPr>
    </w:lvl>
  </w:abstractNum>
  <w:abstractNum w:abstractNumId="6">
    <w:lvl w:ilvl="0">
      <w:start w:val="1"/>
      <w:numFmt w:val="decimal"/>
      <w:lvlText w:val="%1."/>
      <w:lvlJc w:val="left"/>
      <w:pPr>
        <w:tabs>
          <w:tab w:val="num" w:pos="0"/>
        </w:tabs>
        <w:ind w:left="720" w:hanging="360"/>
      </w:pPr>
      <w:rPr>
        <w:b w:val="false"/>
        <w:rFonts w:ascii="Calibri Light" w:hAnsi="Calibri Light" w:eastAsia="Times New Roman" w:cs="Calibri Ligh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decimal"/>
      <w:lvlText w:val="%1)"/>
      <w:lvlJc w:val="left"/>
      <w:pPr>
        <w:tabs>
          <w:tab w:val="num" w:pos="0"/>
        </w:tabs>
        <w:ind w:left="1080" w:hanging="360"/>
      </w:pPr>
      <w:rPr>
        <w:rFonts w:ascii="Calibri Light" w:hAnsi="Calibri Light" w:eastAsia="Times New Roman" w:cs="Calibri Light"/>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8">
    <w:lvl w:ilvl="0">
      <w:start w:val="1"/>
      <w:numFmt w:val="decimal"/>
      <w:lvlText w:val="%1)"/>
      <w:lvlJc w:val="left"/>
      <w:pPr>
        <w:tabs>
          <w:tab w:val="num" w:pos="0"/>
        </w:tabs>
        <w:ind w:left="1080" w:hanging="360"/>
      </w:pPr>
      <w:rPr>
        <w:rFonts w:ascii="Calibri Light" w:hAnsi="Calibri Light" w:eastAsia="Times New Roman" w:cs="Calibri Light"/>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lvl w:ilvl="0">
      <w:start w:val="1"/>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rPr>
        <w:i/>
        <w:u w:val="none"/>
        <w:b w:val="false"/>
      </w:rPr>
    </w:lvl>
    <w:lvl w:ilvl="2">
      <w:start w:val="1"/>
      <w:numFmt w:val="decimal"/>
      <w:lvlText w:val="%3."/>
      <w:lvlJc w:val="left"/>
      <w:pPr>
        <w:tabs>
          <w:tab w:val="num" w:pos="720"/>
        </w:tabs>
        <w:ind w:left="720" w:hanging="720"/>
      </w:pPr>
      <w:rPr>
        <w:sz w:val="22"/>
        <w:i w:val="false"/>
        <w:b w:val="false"/>
        <w:szCs w:val="22"/>
        <w:rFonts w:ascii="Cambria" w:hAnsi="Cambria" w:eastAsia="Times New Roman" w:cs="Calibri Light"/>
        <w:color w:val="auto"/>
      </w:rPr>
    </w:lvl>
    <w:lvl w:ilvl="3">
      <w:start w:val="1"/>
      <w:numFmt w:val="decimal"/>
      <w:lvlText w:val="%4)"/>
      <w:lvlJc w:val="left"/>
      <w:pPr>
        <w:tabs>
          <w:tab w:val="num" w:pos="2557"/>
        </w:tabs>
        <w:ind w:left="2880" w:hanging="360"/>
      </w:pPr>
      <w:rPr>
        <w:sz w:val="24"/>
        <w:b w:val="false"/>
        <w:szCs w:val="24"/>
        <w:rFonts w:ascii="Times New Roman" w:hAnsi="Times New Roman" w:eastAsia="Times New Roman" w:cs="Times New Roman"/>
      </w:rPr>
    </w:lvl>
    <w:lvl w:ilvl="4">
      <w:start w:val="1"/>
      <w:numFmt w:val="decimal"/>
      <w:lvlText w:val="%5)"/>
      <w:lvlJc w:val="left"/>
      <w:pPr>
        <w:tabs>
          <w:tab w:val="num" w:pos="3277"/>
        </w:tabs>
        <w:ind w:left="3600" w:hanging="360"/>
      </w:pPr>
      <w:rPr>
        <w:b w:val="false"/>
        <w:rFonts w:ascii="Times New Roman" w:hAnsi="Times New Roman" w:eastAsia="Times New Roman" w:cs="Times New Roman"/>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lvl w:ilvl="0">
      <w:start w:val="1"/>
      <w:numFmt w:val="decimal"/>
      <w:lvlText w:val="%1."/>
      <w:lvlJc w:val="left"/>
      <w:pPr>
        <w:tabs>
          <w:tab w:val="num" w:pos="0"/>
        </w:tabs>
        <w:ind w:left="720" w:hanging="360"/>
      </w:pPr>
      <w:rPr>
        <w:b w:val="fals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lvl w:ilvl="0">
      <w:start w:val="1"/>
      <w:numFmt w:val="decimal"/>
      <w:lvlText w:val="%1)"/>
      <w:lvlJc w:val="left"/>
      <w:pPr>
        <w:tabs>
          <w:tab w:val="num" w:pos="0"/>
        </w:tabs>
        <w:ind w:left="375" w:hanging="375"/>
      </w:pPr>
      <w:rPr>
        <w:rFonts w:ascii="Calibri Light" w:hAnsi="Calibri Light" w:eastAsia="Times New Roman" w:cs="Calibri Light"/>
      </w:rPr>
    </w:lvl>
    <w:lvl w:ilvl="1">
      <w:start w:val="1"/>
      <w:numFmt w:val="decimal"/>
      <w:lvlText w:val="%2)"/>
      <w:lvlJc w:val="left"/>
      <w:pPr>
        <w:tabs>
          <w:tab w:val="num" w:pos="0"/>
        </w:tabs>
        <w:ind w:left="375" w:hanging="375"/>
      </w:pPr>
      <w:rPr>
        <w:i w:val="false"/>
        <w:b w:val="false"/>
        <w:rFonts w:ascii="Times New Roman" w:hAnsi="Times New Roman" w:eastAsia="Times New Roman" w:cs="Times New Roman"/>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6">
    <w:lvl w:ilvl="0">
      <w:start w:val="1"/>
      <w:numFmt w:val="decimal"/>
      <w:lvlText w:val="%1."/>
      <w:lvlJc w:val="left"/>
      <w:pPr>
        <w:tabs>
          <w:tab w:val="num" w:pos="720"/>
        </w:tabs>
        <w:ind w:left="720" w:hanging="720"/>
      </w:pPr>
      <w:rPr>
        <w:sz w:val="22"/>
        <w:i w:val="false"/>
        <w:b w:val="false"/>
        <w:szCs w:val="22"/>
        <w:rFonts w:ascii="Times New Roman" w:hAnsi="Times New Roman" w:eastAsia="Times New Roman" w:cs="Times New Roman"/>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decimal"/>
      <w:lvlText w:val="%1."/>
      <w:lvlJc w:val="left"/>
      <w:pPr>
        <w:tabs>
          <w:tab w:val="num" w:pos="2880"/>
        </w:tabs>
        <w:ind w:left="2880" w:hanging="360"/>
      </w:pPr>
      <w:rPr>
        <w:b w:val="false"/>
        <w:rFonts w:ascii="Calibri Light" w:hAnsi="Calibri Light" w:eastAsia="Times New Roman" w:cs="Calibri Light"/>
      </w:rPr>
    </w:lvl>
    <w:lvl w:ilvl="1">
      <w:start w:val="1"/>
      <w:numFmt w:val="lowerLetter"/>
      <w:lvlText w:val="%2."/>
      <w:lvlJc w:val="left"/>
      <w:pPr>
        <w:tabs>
          <w:tab w:val="num" w:pos="1440"/>
        </w:tabs>
        <w:ind w:left="1440" w:hanging="360"/>
      </w:pPr>
    </w:lvl>
    <w:lvl w:ilvl="2">
      <w:start w:val="1"/>
      <w:numFmt w:val="decimal"/>
      <w:lvlText w:val="%3."/>
      <w:lvlJc w:val="right"/>
      <w:pPr>
        <w:tabs>
          <w:tab w:val="num" w:pos="2160"/>
        </w:tabs>
        <w:ind w:left="2160" w:hanging="180"/>
      </w:pPr>
      <w:rPr>
        <w:b w:val="false"/>
        <w:rFonts w:ascii="Times New Roman" w:hAnsi="Times New Roman" w:eastAsia="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lvl w:ilvl="0">
      <w:start w:val="1"/>
      <w:numFmt w:val="bullet"/>
      <w:lvlText w:val="-"/>
      <w:lvlJc w:val="left"/>
      <w:pPr>
        <w:tabs>
          <w:tab w:val="num" w:pos="0"/>
        </w:tabs>
        <w:ind w:left="1211" w:hanging="360"/>
      </w:pPr>
      <w:rPr>
        <w:rFonts w:ascii="Calibri" w:hAnsi="Calibri" w:cs="Calibri" w:hint="default"/>
      </w:rPr>
    </w:lvl>
    <w:lvl w:ilvl="1">
      <w:start w:val="1"/>
      <w:numFmt w:val="bullet"/>
      <w:lvlText w:val="o"/>
      <w:lvlJc w:val="left"/>
      <w:pPr>
        <w:tabs>
          <w:tab w:val="num" w:pos="0"/>
        </w:tabs>
        <w:ind w:left="1931" w:hanging="360"/>
      </w:pPr>
      <w:rPr>
        <w:rFonts w:ascii="Courier New" w:hAnsi="Courier New" w:cs="Courier New" w:hint="default"/>
      </w:rPr>
    </w:lvl>
    <w:lvl w:ilvl="2">
      <w:start w:val="1"/>
      <w:numFmt w:val="bullet"/>
      <w:lvlText w:val=""/>
      <w:lvlJc w:val="left"/>
      <w:pPr>
        <w:tabs>
          <w:tab w:val="num" w:pos="0"/>
        </w:tabs>
        <w:ind w:left="2651" w:hanging="360"/>
      </w:pPr>
      <w:rPr>
        <w:rFonts w:ascii="Wingdings" w:hAnsi="Wingdings" w:cs="Wingdings" w:hint="default"/>
      </w:rPr>
    </w:lvl>
    <w:lvl w:ilvl="3">
      <w:start w:val="1"/>
      <w:numFmt w:val="bullet"/>
      <w:lvlText w:val=""/>
      <w:lvlJc w:val="left"/>
      <w:pPr>
        <w:tabs>
          <w:tab w:val="num" w:pos="0"/>
        </w:tabs>
        <w:ind w:left="3371" w:hanging="360"/>
      </w:pPr>
      <w:rPr>
        <w:rFonts w:ascii="Symbol" w:hAnsi="Symbol" w:cs="Symbol" w:hint="default"/>
      </w:rPr>
    </w:lvl>
    <w:lvl w:ilvl="4">
      <w:start w:val="1"/>
      <w:numFmt w:val="bullet"/>
      <w:lvlText w:val="o"/>
      <w:lvlJc w:val="left"/>
      <w:pPr>
        <w:tabs>
          <w:tab w:val="num" w:pos="0"/>
        </w:tabs>
        <w:ind w:left="4091" w:hanging="360"/>
      </w:pPr>
      <w:rPr>
        <w:rFonts w:ascii="Courier New" w:hAnsi="Courier New" w:cs="Courier New" w:hint="default"/>
      </w:rPr>
    </w:lvl>
    <w:lvl w:ilvl="5">
      <w:start w:val="1"/>
      <w:numFmt w:val="bullet"/>
      <w:lvlText w:val=""/>
      <w:lvlJc w:val="left"/>
      <w:pPr>
        <w:tabs>
          <w:tab w:val="num" w:pos="0"/>
        </w:tabs>
        <w:ind w:left="4811" w:hanging="360"/>
      </w:pPr>
      <w:rPr>
        <w:rFonts w:ascii="Wingdings" w:hAnsi="Wingdings" w:cs="Wingdings" w:hint="default"/>
      </w:rPr>
    </w:lvl>
    <w:lvl w:ilvl="6">
      <w:start w:val="1"/>
      <w:numFmt w:val="bullet"/>
      <w:lvlText w:val=""/>
      <w:lvlJc w:val="left"/>
      <w:pPr>
        <w:tabs>
          <w:tab w:val="num" w:pos="0"/>
        </w:tabs>
        <w:ind w:left="5531" w:hanging="360"/>
      </w:pPr>
      <w:rPr>
        <w:rFonts w:ascii="Symbol" w:hAnsi="Symbol" w:cs="Symbol" w:hint="default"/>
      </w:rPr>
    </w:lvl>
    <w:lvl w:ilvl="7">
      <w:start w:val="1"/>
      <w:numFmt w:val="bullet"/>
      <w:lvlText w:val="o"/>
      <w:lvlJc w:val="left"/>
      <w:pPr>
        <w:tabs>
          <w:tab w:val="num" w:pos="0"/>
        </w:tabs>
        <w:ind w:left="6251" w:hanging="360"/>
      </w:pPr>
      <w:rPr>
        <w:rFonts w:ascii="Courier New" w:hAnsi="Courier New" w:cs="Courier New" w:hint="default"/>
      </w:rPr>
    </w:lvl>
    <w:lvl w:ilvl="8">
      <w:start w:val="1"/>
      <w:numFmt w:val="bullet"/>
      <w:lvlText w:val=""/>
      <w:lvlJc w:val="left"/>
      <w:pPr>
        <w:tabs>
          <w:tab w:val="num" w:pos="0"/>
        </w:tabs>
        <w:ind w:left="6971" w:hanging="360"/>
      </w:pPr>
      <w:rPr>
        <w:rFonts w:ascii="Wingdings" w:hAnsi="Wingdings" w:cs="Wingdings" w:hint="default"/>
      </w:rPr>
    </w:lvl>
  </w:abstractNum>
  <w:abstractNum w:abstractNumId="20">
    <w:lvl w:ilvl="0">
      <w:start w:val="1"/>
      <w:numFmt w:val="upperLetter"/>
      <w:lvlText w:val="%1."/>
      <w:lvlJc w:val="left"/>
      <w:pPr>
        <w:tabs>
          <w:tab w:val="num" w:pos="0"/>
        </w:tabs>
        <w:ind w:left="720" w:hanging="360"/>
      </w:pPr>
      <w:rPr>
        <w:b/>
        <w:rFonts w:cs="Calibr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lvl w:ilvl="0">
      <w:start w:val="1"/>
      <w:numFmt w:val="upperLetter"/>
      <w:lvlText w:val="%1."/>
      <w:lvlJc w:val="left"/>
      <w:pPr>
        <w:tabs>
          <w:tab w:val="num" w:pos="0"/>
        </w:tabs>
        <w:ind w:left="720" w:hanging="360"/>
      </w:pPr>
      <w:rPr>
        <w:b/>
        <w:rFonts w:cs="Calibr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3">
    <w:lvl w:ilvl="0">
      <w:start w:val="1"/>
      <w:numFmt w:val="decimal"/>
      <w:lvlText w:val="%1."/>
      <w:lvlJc w:val="left"/>
      <w:pPr>
        <w:tabs>
          <w:tab w:val="num" w:pos="0"/>
        </w:tabs>
        <w:ind w:left="1146" w:hanging="360"/>
      </w:pPr>
      <w:rPr>
        <w:b w:val="false"/>
        <w:rFonts w:ascii="Calibri Light" w:hAnsi="Calibri Light" w:eastAsia="Times New Roman" w:cs="Calibri Light"/>
      </w:r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4">
    <w:lvl w:ilvl="0">
      <w:start w:val="1"/>
      <w:numFmt w:val="decimal"/>
      <w:lvlText w:val="%1."/>
      <w:lvlJc w:val="left"/>
      <w:pPr>
        <w:tabs>
          <w:tab w:val="num" w:pos="0"/>
        </w:tabs>
        <w:ind w:left="1146" w:hanging="360"/>
      </w:pPr>
      <w:rPr>
        <w:b w:val="false"/>
        <w:rFonts w:ascii="Calibri Light" w:hAnsi="Calibri Light" w:eastAsia="Times New Roman" w:cs="Calibri Light"/>
      </w:r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5">
    <w:lvl w:ilvl="0">
      <w:start w:val="1"/>
      <w:numFmt w:val="decimal"/>
      <w:lvlText w:val="%1."/>
      <w:lvlJc w:val="left"/>
      <w:pPr>
        <w:tabs>
          <w:tab w:val="num" w:pos="0"/>
        </w:tabs>
        <w:ind w:left="1146" w:hanging="360"/>
      </w:pPr>
      <w:rPr>
        <w:b w:val="false"/>
        <w:rFonts w:ascii="Calibri Light" w:hAnsi="Calibri Light" w:eastAsia="Times New Roman" w:cs="Calibri Light"/>
      </w:r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6">
    <w:lvl w:ilvl="0">
      <w:start w:val="1"/>
      <w:numFmt w:val="decimal"/>
      <w:lvlText w:val="%1."/>
      <w:lvlJc w:val="left"/>
      <w:pPr>
        <w:tabs>
          <w:tab w:val="num" w:pos="0"/>
        </w:tabs>
        <w:ind w:left="1146" w:hanging="360"/>
      </w:pPr>
      <w:rPr>
        <w:b w:val="false"/>
        <w:rFonts w:ascii="Calibri Light" w:hAnsi="Calibri Light" w:eastAsia="Times New Roman" w:cs="Calibri Light"/>
      </w:r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7">
    <w:lvl w:ilvl="0">
      <w:start w:val="1"/>
      <w:numFmt w:val="decimal"/>
      <w:lvlText w:val="%1)"/>
      <w:lvlJc w:val="left"/>
      <w:pPr>
        <w:tabs>
          <w:tab w:val="num" w:pos="0"/>
        </w:tabs>
        <w:ind w:left="578" w:hanging="360"/>
      </w:pPr>
      <w:rPr>
        <w:rFonts w:ascii="Cambria" w:hAnsi="Cambria"/>
      </w:r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28">
    <w:lvl w:ilvl="0">
      <w:start w:val="1"/>
      <w:numFmt w:val="decimal"/>
      <w:lvlText w:val="%1)"/>
      <w:lvlJc w:val="left"/>
      <w:pPr>
        <w:tabs>
          <w:tab w:val="num" w:pos="0"/>
        </w:tabs>
        <w:ind w:left="578" w:hanging="360"/>
      </w:pPr>
      <w:rPr>
        <w:rFonts w:ascii="Cambria" w:hAnsi="Cambria"/>
      </w:r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29">
    <w:lvl w:ilvl="0">
      <w:start w:val="1"/>
      <w:numFmt w:val="decimal"/>
      <w:lvlText w:val="%1)"/>
      <w:lvlJc w:val="left"/>
      <w:pPr>
        <w:tabs>
          <w:tab w:val="num" w:pos="0"/>
        </w:tabs>
        <w:ind w:left="578" w:hanging="360"/>
      </w:pPr>
      <w:rPr>
        <w:rFonts w:ascii="Cambria" w:hAnsi="Cambria"/>
      </w:r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30">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lvl w:ilvl="0">
      <w:start w:val="1"/>
      <w:numFmt w:val="bullet"/>
      <w:lvlText w:val="−"/>
      <w:lvlJc w:val="left"/>
      <w:pPr>
        <w:tabs>
          <w:tab w:val="num" w:pos="0"/>
        </w:tabs>
        <w:ind w:left="1146"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lvl w:ilvl="0">
      <w:start w:val="1"/>
      <w:numFmt w:val="bullet"/>
      <w:lvlText w:val="−"/>
      <w:lvlJc w:val="left"/>
      <w:pPr>
        <w:tabs>
          <w:tab w:val="num" w:pos="0"/>
        </w:tabs>
        <w:ind w:left="1146"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lvl w:ilvl="0">
      <w:start w:val="1"/>
      <w:numFmt w:val="bullet"/>
      <w:lvlText w:val="−"/>
      <w:lvlJc w:val="left"/>
      <w:pPr>
        <w:tabs>
          <w:tab w:val="num" w:pos="0"/>
        </w:tabs>
        <w:ind w:left="1146"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lvl w:ilvl="0">
      <w:start w:val="1"/>
      <w:numFmt w:val="bullet"/>
      <w:lvlText w:val="−"/>
      <w:lvlJc w:val="left"/>
      <w:pPr>
        <w:tabs>
          <w:tab w:val="num" w:pos="0"/>
        </w:tabs>
        <w:ind w:left="1146"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lvl w:ilvl="0">
      <w:start w:val="1"/>
      <w:numFmt w:val="bullet"/>
      <w:lvlText w:val="−"/>
      <w:lvlJc w:val="left"/>
      <w:pPr>
        <w:tabs>
          <w:tab w:val="num" w:pos="0"/>
        </w:tabs>
        <w:ind w:left="1146"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lvl w:ilvl="0">
      <w:start w:val="1"/>
      <w:numFmt w:val="bullet"/>
      <w:lvlText w:val="−"/>
      <w:lvlJc w:val="left"/>
      <w:pPr>
        <w:tabs>
          <w:tab w:val="num" w:pos="0"/>
        </w:tabs>
        <w:ind w:left="1146"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lvl w:ilvl="0">
      <w:start w:val="1"/>
      <w:numFmt w:val="bullet"/>
      <w:lvlText w:val="−"/>
      <w:lvlJc w:val="left"/>
      <w:pPr>
        <w:tabs>
          <w:tab w:val="num" w:pos="0"/>
        </w:tabs>
        <w:ind w:left="1146"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23"/>
    <w:lvlOverride w:ilvl="0">
      <w:startOverride w:val="1"/>
    </w:lvlOverride>
  </w:num>
  <w:num w:numId="47">
    <w:abstractNumId w:val="23"/>
  </w:num>
  <w:num w:numId="48">
    <w:abstractNumId w:val="23"/>
  </w:num>
  <w:num w:numId="49">
    <w:abstractNumId w:val="23"/>
  </w:num>
  <w:num w:numId="50">
    <w:abstractNumId w:val="27"/>
    <w:lvlOverride w:ilvl="0">
      <w:startOverride w:val="1"/>
    </w:lvlOverride>
  </w:num>
  <w:num w:numId="51">
    <w:abstractNumId w:val="27"/>
  </w:num>
  <w:num w:numId="52">
    <w:abstractNumId w:val="27"/>
  </w:num>
  <w:num w:numId="53">
    <w:abstractNumId w:val="30"/>
    <w:lvlOverride w:ilvl="0">
      <w:startOverride w:val="1"/>
    </w:lvlOverride>
  </w:num>
  <w:num w:numId="54">
    <w:abstractNumId w:val="30"/>
  </w:num>
  <w:num w:numId="55">
    <w:abstractNumId w:val="30"/>
  </w:num>
  <w:num w:numId="56">
    <w:abstractNumId w:val="30"/>
  </w:num>
  <w:num w:numId="57">
    <w:abstractNumId w:val="30"/>
  </w:num>
  <w:num w:numId="58">
    <w:abstractNumId w:val="30"/>
  </w:num>
  <w:num w:numId="59">
    <w:abstractNumId w:val="30"/>
  </w:num>
  <w:num w:numId="60">
    <w:abstractNumId w:val="30"/>
  </w:num>
  <w:num w:numId="61">
    <w:abstractNumId w:val="38"/>
    <w:lvlOverride w:ilvl="0">
      <w:startOverride w:val="1"/>
    </w:lvlOverride>
  </w:num>
  <w:num w:numId="62">
    <w:abstractNumId w:val="38"/>
  </w:num>
  <w:num w:numId="63">
    <w:abstractNumId w:val="38"/>
  </w:num>
  <w:num w:numId="64">
    <w:abstractNumId w:val="38"/>
  </w:num>
  <w:num w:numId="65">
    <w:abstractNumId w:val="11"/>
    <w:lvlOverride w:ilvl="0">
      <w:startOverride w:val="1"/>
    </w:lvlOverride>
  </w:num>
  <w:num w:numId="66">
    <w:abstractNumId w:val="43"/>
    <w:lvlOverride w:ilvl="0">
      <w:startOverride w:val="1"/>
    </w:lvlOverride>
  </w:num>
  <w:num w:numId="67">
    <w:abstractNumId w:val="43"/>
  </w:num>
  <w:num w:numId="68">
    <w:abstractNumId w:val="43"/>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60a7f"/>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l-PL" w:eastAsia="pl-PL" w:bidi="ar-SA"/>
    </w:rPr>
  </w:style>
  <w:style w:type="paragraph" w:styleId="Nagwek2">
    <w:name w:val="Heading 2"/>
    <w:basedOn w:val="Normal"/>
    <w:next w:val="Normal"/>
    <w:qFormat/>
    <w:pPr>
      <w:keepNext w:val="true"/>
      <w:numPr>
        <w:ilvl w:val="1"/>
        <w:numId w:val="1"/>
      </w:numPr>
      <w:spacing w:before="240" w:after="60"/>
      <w:outlineLvl w:val="1"/>
    </w:pPr>
    <w:rPr>
      <w:rFonts w:ascii="Calibri Light" w:hAnsi="Calibri Light" w:eastAsia="Times New Roman" w:cs="Times New Roman"/>
      <w:b/>
      <w:bCs/>
      <w:i/>
      <w:iCs/>
      <w:sz w:val="28"/>
      <w:szCs w:val="28"/>
    </w:rPr>
  </w:style>
  <w:style w:type="paragraph" w:styleId="Nagwek6">
    <w:name w:val="Heading 6"/>
    <w:basedOn w:val="Nagwek"/>
    <w:next w:val="Tretekstu"/>
    <w:qFormat/>
    <w:pPr>
      <w:numPr>
        <w:ilvl w:val="5"/>
        <w:numId w:val="1"/>
      </w:numPr>
      <w:spacing w:before="60" w:after="60"/>
      <w:outlineLvl w:val="5"/>
    </w:pPr>
    <w:rPr>
      <w:b/>
      <w:bCs/>
      <w:i/>
      <w:iCs/>
      <w:sz w:val="24"/>
      <w:szCs w:val="24"/>
    </w:rPr>
  </w:style>
  <w:style w:type="character" w:styleId="DefaultParagraphFont" w:default="1">
    <w:name w:val="Default Paragraph Font"/>
    <w:uiPriority w:val="1"/>
    <w:semiHidden/>
    <w:unhideWhenUsed/>
    <w:qFormat/>
    <w:rPr/>
  </w:style>
  <w:style w:type="character" w:styleId="Czeinternetowe">
    <w:name w:val="Łącze internetowe"/>
    <w:basedOn w:val="DefaultParagraphFont"/>
    <w:uiPriority w:val="99"/>
    <w:rsid w:val="00160a7f"/>
    <w:rPr>
      <w:color w:val="0000FF"/>
      <w:u w:val="single"/>
    </w:rPr>
  </w:style>
  <w:style w:type="character" w:styleId="StopkaZnak" w:customStyle="1">
    <w:name w:val="Stopka Znak"/>
    <w:basedOn w:val="DefaultParagraphFont"/>
    <w:link w:val="Stopka"/>
    <w:qFormat/>
    <w:rsid w:val="00160a7f"/>
    <w:rPr>
      <w:rFonts w:ascii="Times New Roman" w:hAnsi="Times New Roman" w:eastAsia="Times New Roman" w:cs="Times New Roman"/>
      <w:sz w:val="24"/>
      <w:szCs w:val="24"/>
      <w:lang w:eastAsia="pl-PL"/>
    </w:rPr>
  </w:style>
  <w:style w:type="character" w:styleId="Pagenumber">
    <w:name w:val="page number"/>
    <w:basedOn w:val="DefaultParagraphFont"/>
    <w:qFormat/>
    <w:rsid w:val="00160a7f"/>
    <w:rPr/>
  </w:style>
  <w:style w:type="character" w:styleId="TekstpodstawowywcityZnak" w:customStyle="1">
    <w:name w:val="Tekst podstawowy wcięty Znak"/>
    <w:basedOn w:val="DefaultParagraphFont"/>
    <w:link w:val="Tekstpodstawowywcity"/>
    <w:qFormat/>
    <w:rsid w:val="00160a7f"/>
    <w:rPr>
      <w:rFonts w:ascii="Times New Roman" w:hAnsi="Times New Roman" w:eastAsia="Times New Roman" w:cs="Times New Roman"/>
      <w:sz w:val="24"/>
      <w:szCs w:val="24"/>
      <w:lang w:eastAsia="pl-PL"/>
    </w:rPr>
  </w:style>
  <w:style w:type="character" w:styleId="Appleconvertedspace" w:customStyle="1">
    <w:name w:val="apple-converted-space"/>
    <w:basedOn w:val="DefaultParagraphFont"/>
    <w:uiPriority w:val="99"/>
    <w:qFormat/>
    <w:rsid w:val="00160a7f"/>
    <w:rPr/>
  </w:style>
  <w:style w:type="character" w:styleId="AkapitzlistZnak" w:customStyle="1">
    <w:name w:val="Akapit z listą Znak"/>
    <w:link w:val="Akapitzlist"/>
    <w:uiPriority w:val="34"/>
    <w:qFormat/>
    <w:locked/>
    <w:rsid w:val="00160a7f"/>
    <w:rPr>
      <w:rFonts w:ascii="Times New Roman" w:hAnsi="Times New Roman" w:eastAsia="Times New Roman" w:cs="Times New Roman"/>
      <w:sz w:val="24"/>
      <w:szCs w:val="24"/>
    </w:rPr>
  </w:style>
  <w:style w:type="character" w:styleId="TekstdymkaZnak" w:customStyle="1">
    <w:name w:val="Tekst dymka Znak"/>
    <w:basedOn w:val="DefaultParagraphFont"/>
    <w:link w:val="Tekstdymka"/>
    <w:uiPriority w:val="99"/>
    <w:semiHidden/>
    <w:qFormat/>
    <w:rsid w:val="00262a06"/>
    <w:rPr>
      <w:rFonts w:ascii="Segoe UI" w:hAnsi="Segoe UI" w:eastAsia="Times New Roman" w:cs="Segoe UI"/>
      <w:sz w:val="18"/>
      <w:szCs w:val="18"/>
      <w:lang w:eastAsia="pl-PL"/>
    </w:rPr>
  </w:style>
  <w:style w:type="character" w:styleId="Markedcontent" w:customStyle="1">
    <w:name w:val="markedcontent"/>
    <w:basedOn w:val="DefaultParagraphFont"/>
    <w:qFormat/>
    <w:rsid w:val="00513616"/>
    <w:rPr/>
  </w:style>
  <w:style w:type="character" w:styleId="WW8Num9z0">
    <w:name w:val="WW8Num9z0"/>
    <w:qFormat/>
    <w:rPr>
      <w:rFonts w:cs="Calibri"/>
      <w:b/>
    </w:rPr>
  </w:style>
  <w:style w:type="character" w:styleId="WW8Num10z0">
    <w:name w:val="WW8Num10z0"/>
    <w:qFormat/>
    <w:rPr>
      <w:rFonts w:cs="Calibri"/>
      <w:b/>
    </w:rPr>
  </w:style>
  <w:style w:type="character" w:styleId="WW8Num3z0">
    <w:name w:val="WW8Num3z0"/>
    <w:qFormat/>
    <w:rPr>
      <w:u w:val="none"/>
    </w:rPr>
  </w:style>
  <w:style w:type="paragraph" w:styleId="Nagwek">
    <w:name w:val="Nagłówek"/>
    <w:basedOn w:val="Normal"/>
    <w:next w:val="Tretekstu"/>
    <w:qFormat/>
    <w:pPr>
      <w:keepNext w:val="true"/>
      <w:spacing w:before="240" w:after="120"/>
    </w:pPr>
    <w:rPr>
      <w:rFonts w:ascii="Liberation Sans" w:hAnsi="Liberation Sans" w:eastAsia="Microsoft YaHei" w:cs="Arial Unicode M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ks">
    <w:name w:val="Indeks"/>
    <w:basedOn w:val="Normal"/>
    <w:qFormat/>
    <w:pPr>
      <w:suppressLineNumbers/>
    </w:pPr>
    <w:rPr>
      <w:rFonts w:cs="Arial Unicode MS"/>
    </w:rPr>
  </w:style>
  <w:style w:type="paragraph" w:styleId="Normalny1" w:customStyle="1">
    <w:name w:val="Normalny1"/>
    <w:basedOn w:val="Normal"/>
    <w:qFormat/>
    <w:rsid w:val="00160a7f"/>
    <w:pPr>
      <w:suppressAutoHyphens w:val="true"/>
    </w:pPr>
    <w:rPr>
      <w:lang w:eastAsia="ar-SA"/>
    </w:rPr>
  </w:style>
  <w:style w:type="paragraph" w:styleId="Gwkaistopka">
    <w:name w:val="Główka i stopka"/>
    <w:basedOn w:val="Normal"/>
    <w:qFormat/>
    <w:pPr/>
    <w:rPr/>
  </w:style>
  <w:style w:type="paragraph" w:styleId="Stopka">
    <w:name w:val="Footer"/>
    <w:basedOn w:val="Normal"/>
    <w:link w:val="StopkaZnak"/>
    <w:rsid w:val="00160a7f"/>
    <w:pPr>
      <w:tabs>
        <w:tab w:val="clear" w:pos="708"/>
        <w:tab w:val="center" w:pos="4536" w:leader="none"/>
        <w:tab w:val="right" w:pos="9072" w:leader="none"/>
      </w:tabs>
    </w:pPr>
    <w:rPr/>
  </w:style>
  <w:style w:type="paragraph" w:styleId="Akapitzlist1" w:customStyle="1">
    <w:name w:val="Akapit z listą1"/>
    <w:basedOn w:val="Normal"/>
    <w:uiPriority w:val="99"/>
    <w:qFormat/>
    <w:rsid w:val="00d52202"/>
    <w:pPr>
      <w:spacing w:lineRule="auto" w:line="276" w:before="0" w:after="200"/>
      <w:ind w:left="720" w:hanging="0"/>
    </w:pPr>
    <w:rPr>
      <w:rFonts w:ascii="Calibri" w:hAnsi="Calibri" w:cs="Calibri"/>
      <w:sz w:val="22"/>
      <w:szCs w:val="22"/>
      <w:lang w:eastAsia="en-US"/>
    </w:rPr>
  </w:style>
  <w:style w:type="paragraph" w:styleId="WWTekstpodstawowywcity2" w:customStyle="1">
    <w:name w:val="WW-Tekst podstawowy wcięty 2"/>
    <w:basedOn w:val="Normal"/>
    <w:qFormat/>
    <w:rsid w:val="00160a7f"/>
    <w:pPr>
      <w:suppressAutoHyphens w:val="true"/>
      <w:ind w:left="426" w:hanging="426"/>
      <w:jc w:val="both"/>
    </w:pPr>
    <w:rPr>
      <w:rFonts w:ascii="Bookman Old Style" w:hAnsi="Bookman Old Style"/>
      <w:szCs w:val="20"/>
      <w:lang w:eastAsia="ar-SA"/>
    </w:rPr>
  </w:style>
  <w:style w:type="paragraph" w:styleId="Wcicietrecitekstu">
    <w:name w:val="Body Text Indent"/>
    <w:basedOn w:val="Normal"/>
    <w:link w:val="TekstpodstawowywcityZnak"/>
    <w:rsid w:val="00160a7f"/>
    <w:pPr>
      <w:spacing w:before="0" w:after="120"/>
      <w:ind w:left="283" w:hanging="0"/>
    </w:pPr>
    <w:rPr/>
  </w:style>
  <w:style w:type="paragraph" w:styleId="ListParagraph">
    <w:name w:val="List Paragraph"/>
    <w:basedOn w:val="Normal"/>
    <w:link w:val="AkapitzlistZnak"/>
    <w:uiPriority w:val="34"/>
    <w:qFormat/>
    <w:rsid w:val="00160a7f"/>
    <w:pPr>
      <w:ind w:left="708" w:hanging="0"/>
    </w:pPr>
    <w:rPr/>
  </w:style>
  <w:style w:type="paragraph" w:styleId="BalloonText">
    <w:name w:val="Balloon Text"/>
    <w:basedOn w:val="Normal"/>
    <w:link w:val="TekstdymkaZnak"/>
    <w:uiPriority w:val="99"/>
    <w:semiHidden/>
    <w:unhideWhenUsed/>
    <w:qFormat/>
    <w:rsid w:val="00262a06"/>
    <w:pPr/>
    <w:rPr>
      <w:rFonts w:ascii="Segoe UI" w:hAnsi="Segoe UI" w:cs="Segoe UI"/>
      <w:sz w:val="18"/>
      <w:szCs w:val="18"/>
    </w:rPr>
  </w:style>
  <w:style w:type="paragraph" w:styleId="Default" w:customStyle="1">
    <w:name w:val="Default"/>
    <w:qFormat/>
    <w:rsid w:val="008a4ae9"/>
    <w:pPr>
      <w:widowControl/>
      <w:suppressAutoHyphens w:val="true"/>
      <w:bidi w:val="0"/>
      <w:spacing w:lineRule="auto" w:line="240" w:before="0" w:after="0"/>
      <w:jc w:val="left"/>
    </w:pPr>
    <w:rPr>
      <w:rFonts w:ascii="Times New Roman" w:hAnsi="Times New Roman" w:eastAsia="Times New Roman" w:cs="Times New Roman"/>
      <w:color w:val="000000"/>
      <w:kern w:val="0"/>
      <w:sz w:val="24"/>
      <w:szCs w:val="24"/>
      <w:lang w:val="pl-PL" w:eastAsia="pl-PL" w:bidi="ar-SA"/>
    </w:rPr>
  </w:style>
  <w:style w:type="paragraph" w:styleId="Normalny2" w:customStyle="1">
    <w:name w:val="Normalny2"/>
    <w:basedOn w:val="Normal"/>
    <w:qFormat/>
    <w:rsid w:val="00d638e0"/>
    <w:pPr>
      <w:suppressAutoHyphens w:val="true"/>
    </w:pPr>
    <w:rPr>
      <w:lang w:eastAsia="ar-SA"/>
    </w:rPr>
  </w:style>
  <w:style w:type="paragraph" w:styleId="Zawartoramki">
    <w:name w:val="Zawartość ramki"/>
    <w:basedOn w:val="Normal"/>
    <w:qFormat/>
    <w:pPr/>
    <w:rPr/>
  </w:style>
  <w:style w:type="paragraph" w:styleId="Nagweklisty">
    <w:name w:val="Nagłówek listy"/>
    <w:basedOn w:val="Normal"/>
    <w:next w:val="Zawartolisty"/>
    <w:qFormat/>
    <w:pPr>
      <w:ind w:hanging="0"/>
    </w:pPr>
    <w:rPr/>
  </w:style>
  <w:style w:type="paragraph" w:styleId="Zawartolisty">
    <w:name w:val="Zawartość listy"/>
    <w:basedOn w:val="Normal"/>
    <w:qFormat/>
    <w:pPr>
      <w:ind w:left="567" w:hanging="0"/>
    </w:pPr>
    <w:rPr/>
  </w:style>
  <w:style w:type="paragraph" w:styleId="NormalnyWeb">
    <w:name w:val="Normalny (Web)"/>
    <w:basedOn w:val="Normal"/>
    <w:qFormat/>
    <w:pPr>
      <w:spacing w:lineRule="auto" w:line="240" w:before="280" w:after="280"/>
    </w:pPr>
    <w:rPr>
      <w:rFonts w:ascii="Times New Roman" w:hAnsi="Times New Roman" w:cs="Times New Roman"/>
      <w:sz w:val="24"/>
      <w:szCs w:val="24"/>
    </w:rPr>
  </w:style>
  <w:style w:type="paragraph" w:styleId="Akapitzlist">
    <w:name w:val="Akapit z listą"/>
    <w:basedOn w:val="Normal"/>
    <w:qFormat/>
    <w:pPr>
      <w:spacing w:before="0" w:after="200"/>
      <w:ind w:left="720" w:right="0" w:hanging="0"/>
      <w:contextualSpacing/>
    </w:pPr>
    <w:rPr>
      <w:rFonts w:eastAsia="Calibri" w:cs="Times New Roman"/>
    </w:rPr>
  </w:style>
  <w:style w:type="numbering" w:styleId="NoList" w:default="1">
    <w:name w:val="No List"/>
    <w:uiPriority w:val="99"/>
    <w:semiHidden/>
    <w:unhideWhenUsed/>
    <w:qFormat/>
  </w:style>
  <w:style w:type="numbering" w:styleId="WW8Num9">
    <w:name w:val="WW8Num9"/>
    <w:qFormat/>
  </w:style>
  <w:style w:type="numbering" w:styleId="WW8Num10">
    <w:name w:val="WW8Num10"/>
    <w:qFormat/>
  </w:style>
  <w:style w:type="numbering" w:styleId="WW8Num3">
    <w:name w:val="WW8Num3"/>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zam.pub@tomaszow-maz.pl" TargetMode="External"/><Relationship Id="rId3" Type="http://schemas.openxmlformats.org/officeDocument/2006/relationships/hyperlink" Target="mailto:zam.pub@tomaszow-maz.pl" TargetMode="External"/><Relationship Id="rId4" Type="http://schemas.openxmlformats.org/officeDocument/2006/relationships/hyperlink" Target="mailto:zam.pub.oferta@tomaszow-maz.pl" TargetMode="Externa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863</TotalTime>
  <Application>LibreOffice/7.0.2.2$Windows_X86_64 LibreOffice_project/8349ace3c3162073abd90d81fd06dcfb6b36b994</Application>
  <Pages>18</Pages>
  <Words>5281</Words>
  <Characters>34677</Characters>
  <CharactersWithSpaces>39733</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2020-03-30T06:08:00Z</dcterms:created>
  <dc:creator>kczok</dc:creator>
  <dc:description/>
  <dc:language>pl-PL</dc:language>
  <cp:lastModifiedBy/>
  <dcterms:modified xsi:type="dcterms:W3CDTF">2022-08-01T09:23:40Z</dcterms:modified>
  <cp:revision>93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