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74B2" w:rsidRPr="005E74B2" w:rsidRDefault="005E74B2" w:rsidP="005E74B2">
      <w:pPr>
        <w:spacing w:after="0" w:line="240" w:lineRule="auto"/>
        <w:jc w:val="both"/>
        <w:rPr>
          <w:rFonts w:ascii="Arial" w:eastAsia="Times New Roman" w:hAnsi="Arial" w:cs="Arial"/>
          <w:lang w:eastAsia="pl-PL"/>
        </w:rPr>
      </w:pPr>
      <w:r w:rsidRPr="005E74B2">
        <w:rPr>
          <w:rFonts w:ascii="Arial" w:eastAsia="Times New Roman" w:hAnsi="Arial" w:cs="Arial"/>
          <w:b/>
          <w:bCs/>
          <w:lang w:eastAsia="pl-PL"/>
        </w:rPr>
        <w:t xml:space="preserve">Opracowanie dokumentacji technicznej na potrzeby rewitalizacji Parku Miejskiego "Solidarność" i parku przypałacowego </w:t>
      </w:r>
      <w:r w:rsidRPr="005E74B2">
        <w:rPr>
          <w:rFonts w:ascii="Arial" w:eastAsia="Times New Roman" w:hAnsi="Arial" w:cs="Arial"/>
          <w:bCs/>
        </w:rPr>
        <w:t>w ramach projektu pn. „TOMASZÓW MAZOWIECKI - ARENA POZYTYWNEJ ENERGII: wzmocnienie spójności społecznej i gospodarczej oraz podniesienie jakości środowiska naturalnego w Toma</w:t>
      </w:r>
      <w:r w:rsidRPr="005E74B2">
        <w:rPr>
          <w:rFonts w:ascii="Arial" w:eastAsia="Times New Roman" w:hAnsi="Arial" w:cs="Arial"/>
          <w:bCs/>
          <w:i/>
          <w:iCs/>
        </w:rPr>
        <w:t>s</w:t>
      </w:r>
      <w:r w:rsidRPr="005E74B2">
        <w:rPr>
          <w:rFonts w:ascii="Arial" w:eastAsia="Times New Roman" w:hAnsi="Arial" w:cs="Arial"/>
          <w:bCs/>
        </w:rPr>
        <w:t>zowie Mazowieckim” finansowanego w ramach Programu „Rozwój Lokalny” ze środków Mechanizmu Finansowego EOG 2014-2021.</w:t>
      </w:r>
    </w:p>
    <w:p w:rsidR="005E74B2" w:rsidRDefault="005E74B2" w:rsidP="00707C02">
      <w:pPr>
        <w:jc w:val="both"/>
        <w:rPr>
          <w:rFonts w:ascii="Arial" w:hAnsi="Arial" w:cs="Arial"/>
        </w:rPr>
      </w:pPr>
    </w:p>
    <w:p w:rsidR="00DD39E0" w:rsidRDefault="00DD39E0" w:rsidP="00707C02">
      <w:pPr>
        <w:jc w:val="both"/>
        <w:rPr>
          <w:rFonts w:ascii="Arial" w:hAnsi="Arial" w:cs="Arial"/>
        </w:rPr>
      </w:pPr>
      <w:r>
        <w:rPr>
          <w:rFonts w:ascii="Arial" w:hAnsi="Arial" w:cs="Arial"/>
        </w:rPr>
        <w:t>ZAŁOŻENIA</w:t>
      </w:r>
    </w:p>
    <w:p w:rsidR="008730B4" w:rsidRPr="00B25119" w:rsidRDefault="00BA030A" w:rsidP="00707C02">
      <w:pPr>
        <w:jc w:val="both"/>
        <w:rPr>
          <w:rFonts w:ascii="Arial" w:hAnsi="Arial" w:cs="Arial"/>
        </w:rPr>
      </w:pPr>
      <w:r>
        <w:rPr>
          <w:rFonts w:ascii="Arial" w:hAnsi="Arial" w:cs="Arial"/>
        </w:rPr>
        <w:t>Przedsięwzięcie jest kontynuacja</w:t>
      </w:r>
      <w:r w:rsidR="00707C02" w:rsidRPr="00B25119">
        <w:rPr>
          <w:rFonts w:ascii="Arial" w:hAnsi="Arial" w:cs="Arial"/>
        </w:rPr>
        <w:t xml:space="preserve"> działań realizowanych przez Miasto Tomaszów Mazowiecki w ramach wcześniejszych działań związanych z zagospodarowaniem przestrzeni publicznej, terenów zielonych. Dotychczasowe działania skierowane były na realizację procesów rewitalizacji centralnej części miasta min. poprzez zagospodarowanie zdegradowanej przestrzeni i terenów zieleni miejskiej, gdzie powstał park Bulwary. Centrum Miasta to obszar zdegradowany, tracący funkcje społeczne i gospodarcze, z natężeniem negatywnych zjawisk społecznych. Dlatego też od kilku lat trwały poszukiwania odpowiedniego źródła finasowania dla rewitalizacji Parku Solidarność czyli tzw. hrabskiego ogrodu. Park ten to historyczny obszar zieleni parkowej związany z pobliskim Pałacem Ostrowskich, który był siedzibą i rezydencją założycieli miasta. Park stanowił ogród pałacowy. Jest to miejsce na trwale związane z Tomaszowem Mazowieckim. Miejsce które było bardzo chętnie odwiedzane przez mieszkańców, turystów. Niestety od kilku lat podlega ono degradacji infrastrukturalnej, krajobrazowej, traci funkcje społeczne. Zjawisko to pogłębiło się po wyburzeniu zagrażającej bezpieczeństwu Muszli Koncertowej, która była wpisana w krajobraz i funkcje tej przestrzeni. Park ma charakter spokojnego miejsca odpoczynku, historycznej zieleni i wkomponowanego w nią stawu. Jest to miejsce różne od aktywności przewidzianej we wspominanym Parku Bulwary. Obie przestrzenie mają ze sobą korespondować, uzupełniać się i stanowić jeden obszar funkcjonalny z różnymi wprawdzie funkcjami ale stanowiącymi kompletna ofertę dla mieszkańców. Jak już wspomniano Ogród Hrabski od zawsze integrował mieszkańców, był miejscem spotkań, koncertów, najważniejszym terenem zielonym. Po drugiej stronie rzeki kwitło natomiast życie gospodarcze zarówno w czasach powstawania i rozwoju miasta jak i w okresie późniejszym. Jeszcze niedawno funkcjonowało tam kilka zakładów włókienniczych. Przywrócenie tej przestrzeni tradycyjnych funkcji, skupienie wokół niej mieszkańców, pobudzenie ich do aktywności opartej o walory przyrodnicze i turystyczne doprowadzić ma zminimalizowania negatywnych zjawisk społecznych, pobudzenia obszaru zdegradowanego, odnowienia więzi i tożsamości. Ciekawie zaaranżowane treny zieleni miejskiej mają także wpływ na niwelowanie zagrożeń środowiskowych, wpływają na zdrowie publiczne. Sprawiają, że miasto staje się trakcyjne, konkurencyjne i komfortowe. Staje się przyjazne dla wszystkich którzy w nim mieszkają i chcą z niego skorzystać.</w:t>
      </w:r>
    </w:p>
    <w:p w:rsidR="00B25119" w:rsidRDefault="00707C02" w:rsidP="00707C02">
      <w:pPr>
        <w:jc w:val="both"/>
        <w:rPr>
          <w:rFonts w:ascii="Arial" w:hAnsi="Arial" w:cs="Arial"/>
        </w:rPr>
      </w:pPr>
      <w:r w:rsidRPr="00B25119">
        <w:rPr>
          <w:rFonts w:ascii="Arial" w:hAnsi="Arial" w:cs="Arial"/>
        </w:rPr>
        <w:t>Przedsięwzięcie w pierwszym etapie będzie polegać na opracowaniu niezbędnej dokumentacji technicznej i uzyskan</w:t>
      </w:r>
      <w:r w:rsidR="00B25119">
        <w:rPr>
          <w:rFonts w:ascii="Arial" w:hAnsi="Arial" w:cs="Arial"/>
        </w:rPr>
        <w:t>iu zgód, decyzji, pozwoleń.</w:t>
      </w:r>
      <w:r w:rsidRPr="00B25119">
        <w:rPr>
          <w:rFonts w:ascii="Arial" w:hAnsi="Arial" w:cs="Arial"/>
        </w:rPr>
        <w:t>  Następnie, na podstawie pozyskanych dokumentów zostanie przeprowadzona jego realizacja.  Re</w:t>
      </w:r>
      <w:r w:rsidR="00B25119">
        <w:rPr>
          <w:rFonts w:ascii="Arial" w:hAnsi="Arial" w:cs="Arial"/>
        </w:rPr>
        <w:t>alizacja będzie polegała na min:</w:t>
      </w:r>
    </w:p>
    <w:p w:rsidR="00B25119" w:rsidRDefault="00B25119" w:rsidP="00B25119">
      <w:pPr>
        <w:ind w:left="426" w:hanging="426"/>
        <w:jc w:val="both"/>
        <w:rPr>
          <w:rFonts w:ascii="Arial" w:hAnsi="Arial" w:cs="Arial"/>
        </w:rPr>
      </w:pPr>
      <w:r>
        <w:rPr>
          <w:rFonts w:ascii="Arial" w:hAnsi="Arial" w:cs="Arial"/>
        </w:rPr>
        <w:t>-</w:t>
      </w:r>
      <w:r>
        <w:rPr>
          <w:rFonts w:ascii="Arial" w:hAnsi="Arial" w:cs="Arial"/>
        </w:rPr>
        <w:tab/>
      </w:r>
      <w:r w:rsidR="00707C02" w:rsidRPr="00B25119">
        <w:rPr>
          <w:rFonts w:ascii="Arial" w:hAnsi="Arial" w:cs="Arial"/>
        </w:rPr>
        <w:t xml:space="preserve">odbudowie  muszli koncertowej,  </w:t>
      </w:r>
    </w:p>
    <w:p w:rsidR="00B25119" w:rsidRDefault="00B25119" w:rsidP="00B25119">
      <w:pPr>
        <w:ind w:left="426" w:hanging="426"/>
        <w:jc w:val="both"/>
        <w:rPr>
          <w:rFonts w:ascii="Arial" w:hAnsi="Arial" w:cs="Arial"/>
        </w:rPr>
      </w:pPr>
      <w:r>
        <w:rPr>
          <w:rFonts w:ascii="Arial" w:hAnsi="Arial" w:cs="Arial"/>
        </w:rPr>
        <w:t>-</w:t>
      </w:r>
      <w:r>
        <w:rPr>
          <w:rFonts w:ascii="Arial" w:hAnsi="Arial" w:cs="Arial"/>
        </w:rPr>
        <w:tab/>
      </w:r>
      <w:r w:rsidR="00707C02" w:rsidRPr="00B25119">
        <w:rPr>
          <w:rFonts w:ascii="Arial" w:hAnsi="Arial" w:cs="Arial"/>
        </w:rPr>
        <w:t xml:space="preserve">rewitalizacji stawu parkowego i stawideł, </w:t>
      </w:r>
    </w:p>
    <w:p w:rsidR="00B25119" w:rsidRDefault="00B25119" w:rsidP="00B25119">
      <w:pPr>
        <w:ind w:left="426" w:hanging="426"/>
        <w:jc w:val="both"/>
        <w:rPr>
          <w:rFonts w:ascii="Arial" w:hAnsi="Arial" w:cs="Arial"/>
        </w:rPr>
      </w:pPr>
      <w:r>
        <w:rPr>
          <w:rFonts w:ascii="Arial" w:hAnsi="Arial" w:cs="Arial"/>
        </w:rPr>
        <w:t>-</w:t>
      </w:r>
      <w:r>
        <w:rPr>
          <w:rFonts w:ascii="Arial" w:hAnsi="Arial" w:cs="Arial"/>
        </w:rPr>
        <w:tab/>
      </w:r>
      <w:r w:rsidR="00707C02" w:rsidRPr="00B25119">
        <w:rPr>
          <w:rFonts w:ascii="Arial" w:hAnsi="Arial" w:cs="Arial"/>
        </w:rPr>
        <w:t>modernizacji fontanny i rzeźb zlokalizowanych w parku, </w:t>
      </w:r>
    </w:p>
    <w:p w:rsidR="00B25119" w:rsidRDefault="00B25119" w:rsidP="00B25119">
      <w:pPr>
        <w:ind w:left="426" w:hanging="426"/>
        <w:jc w:val="both"/>
        <w:rPr>
          <w:rFonts w:ascii="Arial" w:hAnsi="Arial" w:cs="Arial"/>
        </w:rPr>
      </w:pPr>
      <w:r>
        <w:rPr>
          <w:rFonts w:ascii="Arial" w:hAnsi="Arial" w:cs="Arial"/>
        </w:rPr>
        <w:t>-</w:t>
      </w:r>
      <w:r>
        <w:rPr>
          <w:rFonts w:ascii="Arial" w:hAnsi="Arial" w:cs="Arial"/>
        </w:rPr>
        <w:tab/>
      </w:r>
      <w:r w:rsidR="00707C02" w:rsidRPr="00B25119">
        <w:rPr>
          <w:rFonts w:ascii="Arial" w:hAnsi="Arial" w:cs="Arial"/>
        </w:rPr>
        <w:t>dostawie i montażu małej architektury z elementami smart</w:t>
      </w:r>
      <w:r>
        <w:rPr>
          <w:rFonts w:ascii="Arial" w:hAnsi="Arial" w:cs="Arial"/>
        </w:rPr>
        <w:t xml:space="preserve"> </w:t>
      </w:r>
      <w:r w:rsidR="00707C02" w:rsidRPr="00B25119">
        <w:rPr>
          <w:rFonts w:ascii="Arial" w:hAnsi="Arial" w:cs="Arial"/>
        </w:rPr>
        <w:t xml:space="preserve">(elementy solarne, ładowarki) </w:t>
      </w:r>
    </w:p>
    <w:p w:rsidR="00B25119" w:rsidRDefault="00707C02" w:rsidP="00B25119">
      <w:pPr>
        <w:ind w:left="426" w:hanging="426"/>
        <w:jc w:val="both"/>
        <w:rPr>
          <w:rFonts w:ascii="Arial" w:hAnsi="Arial" w:cs="Arial"/>
        </w:rPr>
      </w:pPr>
      <w:r w:rsidRPr="00B25119">
        <w:rPr>
          <w:rFonts w:ascii="Arial" w:hAnsi="Arial" w:cs="Arial"/>
        </w:rPr>
        <w:t>-</w:t>
      </w:r>
      <w:r w:rsidR="00B25119">
        <w:rPr>
          <w:rFonts w:ascii="Arial" w:hAnsi="Arial" w:cs="Arial"/>
        </w:rPr>
        <w:tab/>
      </w:r>
      <w:r w:rsidRPr="00B25119">
        <w:rPr>
          <w:rFonts w:ascii="Arial" w:hAnsi="Arial" w:cs="Arial"/>
        </w:rPr>
        <w:t xml:space="preserve">przebudowie, budowie, modernizacji ścieżek i alejek parkowych wraz z połączeniem parku z Pałacem Ostrowskich i przestrzenią przypałacową w której eksponowane zostaną zbiory muzealne informacje o wydarzeniach kulturalnych, </w:t>
      </w:r>
    </w:p>
    <w:p w:rsidR="00B25119" w:rsidRDefault="00707C02" w:rsidP="00B25119">
      <w:pPr>
        <w:ind w:left="426" w:hanging="426"/>
        <w:jc w:val="both"/>
        <w:rPr>
          <w:rFonts w:ascii="Arial" w:hAnsi="Arial" w:cs="Arial"/>
        </w:rPr>
      </w:pPr>
      <w:r w:rsidRPr="00B25119">
        <w:rPr>
          <w:rFonts w:ascii="Arial" w:hAnsi="Arial" w:cs="Arial"/>
        </w:rPr>
        <w:t>-</w:t>
      </w:r>
      <w:r w:rsidR="00B25119">
        <w:rPr>
          <w:rFonts w:ascii="Arial" w:hAnsi="Arial" w:cs="Arial"/>
        </w:rPr>
        <w:tab/>
      </w:r>
      <w:r w:rsidRPr="00B25119">
        <w:rPr>
          <w:rFonts w:ascii="Arial" w:hAnsi="Arial" w:cs="Arial"/>
        </w:rPr>
        <w:t xml:space="preserve">pielęgnacji istniejącej zieleni, nowych nasadzeniach, </w:t>
      </w:r>
    </w:p>
    <w:p w:rsidR="00B25119" w:rsidRDefault="00B25119" w:rsidP="00B25119">
      <w:pPr>
        <w:ind w:left="426" w:hanging="426"/>
        <w:jc w:val="both"/>
        <w:rPr>
          <w:rFonts w:ascii="Arial" w:hAnsi="Arial" w:cs="Arial"/>
        </w:rPr>
      </w:pPr>
      <w:r>
        <w:rPr>
          <w:rFonts w:ascii="Arial" w:hAnsi="Arial" w:cs="Arial"/>
        </w:rPr>
        <w:t>-</w:t>
      </w:r>
      <w:r>
        <w:rPr>
          <w:rFonts w:ascii="Arial" w:hAnsi="Arial" w:cs="Arial"/>
        </w:rPr>
        <w:tab/>
      </w:r>
      <w:r w:rsidR="00707C02" w:rsidRPr="00B25119">
        <w:rPr>
          <w:rFonts w:ascii="Arial" w:hAnsi="Arial" w:cs="Arial"/>
        </w:rPr>
        <w:t xml:space="preserve">instalacji monitoringu wizyjnego,  </w:t>
      </w:r>
    </w:p>
    <w:p w:rsidR="00B25119" w:rsidRDefault="00B25119" w:rsidP="00B25119">
      <w:pPr>
        <w:ind w:left="426" w:hanging="426"/>
        <w:jc w:val="both"/>
        <w:rPr>
          <w:rFonts w:ascii="Arial" w:hAnsi="Arial" w:cs="Arial"/>
        </w:rPr>
      </w:pPr>
      <w:r>
        <w:rPr>
          <w:rFonts w:ascii="Arial" w:hAnsi="Arial" w:cs="Arial"/>
        </w:rPr>
        <w:lastRenderedPageBreak/>
        <w:t>-</w:t>
      </w:r>
      <w:r>
        <w:rPr>
          <w:rFonts w:ascii="Arial" w:hAnsi="Arial" w:cs="Arial"/>
        </w:rPr>
        <w:tab/>
      </w:r>
      <w:r w:rsidR="00707C02" w:rsidRPr="00B25119">
        <w:rPr>
          <w:rFonts w:ascii="Arial" w:hAnsi="Arial" w:cs="Arial"/>
        </w:rPr>
        <w:t xml:space="preserve">inteligentnego </w:t>
      </w:r>
      <w:r>
        <w:rPr>
          <w:rFonts w:ascii="Arial" w:hAnsi="Arial" w:cs="Arial"/>
        </w:rPr>
        <w:t>oświetlenia energooszczędnego tupu LED</w:t>
      </w:r>
    </w:p>
    <w:p w:rsidR="00B25119" w:rsidRDefault="00B25119" w:rsidP="00B25119">
      <w:pPr>
        <w:ind w:left="426" w:hanging="426"/>
        <w:jc w:val="both"/>
        <w:rPr>
          <w:rFonts w:ascii="Arial" w:hAnsi="Arial" w:cs="Arial"/>
        </w:rPr>
      </w:pPr>
      <w:r>
        <w:rPr>
          <w:rFonts w:ascii="Arial" w:hAnsi="Arial" w:cs="Arial"/>
        </w:rPr>
        <w:t>-</w:t>
      </w:r>
      <w:r>
        <w:rPr>
          <w:rFonts w:ascii="Arial" w:hAnsi="Arial" w:cs="Arial"/>
        </w:rPr>
        <w:tab/>
      </w:r>
      <w:r w:rsidR="00707C02" w:rsidRPr="00B25119">
        <w:rPr>
          <w:rFonts w:ascii="Arial" w:hAnsi="Arial" w:cs="Arial"/>
        </w:rPr>
        <w:t>modernizacji wejść do Parku z elementami dostępności, likwida</w:t>
      </w:r>
      <w:r>
        <w:rPr>
          <w:rFonts w:ascii="Arial" w:hAnsi="Arial" w:cs="Arial"/>
        </w:rPr>
        <w:t>cją barier architektonicznych.</w:t>
      </w:r>
    </w:p>
    <w:p w:rsidR="00707C02" w:rsidRPr="00B25119" w:rsidRDefault="00707C02" w:rsidP="00707C02">
      <w:pPr>
        <w:jc w:val="both"/>
        <w:rPr>
          <w:rFonts w:ascii="Arial" w:hAnsi="Arial" w:cs="Arial"/>
        </w:rPr>
      </w:pPr>
      <w:r w:rsidRPr="00B25119">
        <w:rPr>
          <w:rFonts w:ascii="Arial" w:hAnsi="Arial" w:cs="Arial"/>
        </w:rPr>
        <w:t xml:space="preserve">Przedsięwzięcie będzie realizowane z uwzględnieniem standardów dostępności. Przestrzeń zostanie odpowiednio oznaczona dla osób niedowidzących. Zniesione zostaną bariery architektoniczne utrudniające dostęp do Parku od strony głównych wejść, co pozwoli na swobodny dostęp osób z niepełnosprawnością ruchową. W parku zostaną zainstalowane znaczniki elektroniczne ułatwiające dostęp osobom niedowidzącym. Dodatkowo przy wejściach do parku zamontowane zostaną uruchamiane przyciskiem punkty multimedialne prezentujące </w:t>
      </w:r>
      <w:r w:rsidR="00B25119">
        <w:rPr>
          <w:rFonts w:ascii="Arial" w:hAnsi="Arial" w:cs="Arial"/>
        </w:rPr>
        <w:br/>
      </w:r>
      <w:r w:rsidRPr="00B25119">
        <w:rPr>
          <w:rFonts w:ascii="Arial" w:hAnsi="Arial" w:cs="Arial"/>
        </w:rPr>
        <w:t xml:space="preserve">w formie głosowej informacje o parku, jego historii, historii miasta, zaplanowanych funkcjach </w:t>
      </w:r>
      <w:r w:rsidR="00B25119">
        <w:rPr>
          <w:rFonts w:ascii="Arial" w:hAnsi="Arial" w:cs="Arial"/>
        </w:rPr>
        <w:br/>
      </w:r>
      <w:r w:rsidRPr="00B25119">
        <w:rPr>
          <w:rFonts w:ascii="Arial" w:hAnsi="Arial" w:cs="Arial"/>
        </w:rPr>
        <w:t>i przeznaczeniu obiektu.</w:t>
      </w:r>
    </w:p>
    <w:p w:rsidR="00707C02" w:rsidRPr="00B25119" w:rsidRDefault="00707C02" w:rsidP="00707C02">
      <w:pPr>
        <w:pStyle w:val="NormalnyWeb"/>
        <w:spacing w:before="0" w:beforeAutospacing="0" w:after="0" w:afterAutospacing="0"/>
        <w:jc w:val="both"/>
        <w:rPr>
          <w:rFonts w:ascii="Arial" w:hAnsi="Arial" w:cs="Arial"/>
          <w:sz w:val="22"/>
          <w:szCs w:val="22"/>
        </w:rPr>
      </w:pPr>
      <w:r w:rsidRPr="00B25119">
        <w:rPr>
          <w:rFonts w:ascii="Arial" w:hAnsi="Arial" w:cs="Arial"/>
          <w:sz w:val="22"/>
          <w:szCs w:val="22"/>
        </w:rPr>
        <w:t>Podniesienie jakości infrastruktury zieleni, zdegradowanej przestrzeni publicznej pozwoli na stworzenie miejsca nie tylko wypoczynku wśród zieleni ale aktywnego spędzania czasu dla osób uprawiających jogging, nordicwalking. Pozwoli na korzystanie z elementów prozdrowotnych w postaci tężni solankowej. Wygeneruje miejsce spotkań mieszkańców w historycznej przestrzeni parkowej i pałacowej. Możliwość tworzenia wydarzeń, spektakli, koncertów, spotkań  w odbudowanej muszli koncertowej wpłynie na więzi społeczne i wzajemne interakcje mieszkańców. Bezpośrednie połączenie parku w Pałacem Ostrowskich i zlokalizowanym w nim muzeum pozwoli na otwarcie nie tylko przestrzeni ale także prezentacji zbiorów muzeum poprzez instalacje zlokalizowane nowej przestrzeni. Hrabski ogród połączy także w sposób symboliczny historię miasta z jego teraźniejszością i nowymi funkcjami. Pozwoli na szerszy dostęp do kultury, jej zasobów i inicjatyw. Stworzenie przyjaznej zielonej przestrzeni i jej lokalizacja przy obiektach sportowych zwiększy potencjał sportowo-rekreacyjny miasta. W konsekwencji dokonanych zmian społecznych, przestrzennych, kulturowych, zwiększonego zainteresowania mieszkańców tym miejscem pojawią się inicjatywy gospodarcze i przedsiębiorczość. W zakresie wymiaru przestrzennego  realizacja przedsięwzięcia zwiększy atrakcyjność części miasta, zrewitalizuje zaniedbaną przestrzeń publiczną, przywróci jej tradycyjne funkcje oparte o historyczne przeznaczenie będzie wykorzystać walory przyrodnicze i rekreacyjne miasta do rozwijania oferty rekreacyjnej, turystycznej W zak</w:t>
      </w:r>
      <w:r w:rsidR="00EE06F2">
        <w:rPr>
          <w:rFonts w:ascii="Arial" w:hAnsi="Arial" w:cs="Arial"/>
          <w:sz w:val="22"/>
          <w:szCs w:val="22"/>
        </w:rPr>
        <w:t xml:space="preserve">resie wymiaru środowiskowego </w:t>
      </w:r>
      <w:r w:rsidRPr="00B25119">
        <w:rPr>
          <w:rFonts w:ascii="Arial" w:hAnsi="Arial" w:cs="Arial"/>
          <w:sz w:val="22"/>
          <w:szCs w:val="22"/>
        </w:rPr>
        <w:t>realizacja przedsięwzięcia zwiększy dostępność mieszkańców do stref zieleni śródmiejskiej będzie, korzystnie wpływać potencjał adaptacyjny miasta do postępujących zmian klimatu.</w:t>
      </w:r>
    </w:p>
    <w:p w:rsidR="00707C02" w:rsidRDefault="00707C02" w:rsidP="00707C02">
      <w:pPr>
        <w:jc w:val="both"/>
        <w:rPr>
          <w:rFonts w:ascii="Arial" w:hAnsi="Arial" w:cs="Arial"/>
        </w:rPr>
      </w:pPr>
    </w:p>
    <w:p w:rsidR="00EE06F2" w:rsidRDefault="00DD39E0" w:rsidP="00707C02">
      <w:pPr>
        <w:jc w:val="both"/>
        <w:rPr>
          <w:rFonts w:ascii="Arial" w:hAnsi="Arial" w:cs="Arial"/>
        </w:rPr>
      </w:pPr>
      <w:r>
        <w:rPr>
          <w:rFonts w:ascii="Arial" w:hAnsi="Arial" w:cs="Arial"/>
        </w:rPr>
        <w:t>ZAKRES PROJEKTU</w:t>
      </w:r>
      <w:r w:rsidR="00EE06F2">
        <w:rPr>
          <w:rFonts w:ascii="Arial" w:hAnsi="Arial" w:cs="Arial"/>
        </w:rPr>
        <w:t>:</w:t>
      </w:r>
    </w:p>
    <w:p w:rsidR="00EE06F2" w:rsidRDefault="00EE06F2" w:rsidP="00EE06F2">
      <w:pPr>
        <w:ind w:left="426" w:hanging="426"/>
        <w:jc w:val="both"/>
        <w:rPr>
          <w:rFonts w:ascii="Arial" w:hAnsi="Arial" w:cs="Arial"/>
        </w:rPr>
      </w:pPr>
      <w:r>
        <w:rPr>
          <w:rFonts w:ascii="Arial" w:hAnsi="Arial" w:cs="Arial"/>
        </w:rPr>
        <w:t>-</w:t>
      </w:r>
      <w:r>
        <w:rPr>
          <w:rFonts w:ascii="Arial" w:hAnsi="Arial" w:cs="Arial"/>
        </w:rPr>
        <w:tab/>
        <w:t>przebudowa wjazdu od ul. Ligi Morskiej i Rzecznej,</w:t>
      </w:r>
    </w:p>
    <w:p w:rsidR="00EE06F2" w:rsidRDefault="00EE06F2" w:rsidP="00EE06F2">
      <w:pPr>
        <w:ind w:left="426" w:hanging="426"/>
        <w:jc w:val="both"/>
        <w:rPr>
          <w:rFonts w:ascii="Arial" w:hAnsi="Arial" w:cs="Arial"/>
        </w:rPr>
      </w:pPr>
      <w:r>
        <w:rPr>
          <w:rFonts w:ascii="Arial" w:hAnsi="Arial" w:cs="Arial"/>
        </w:rPr>
        <w:t>-</w:t>
      </w:r>
      <w:r>
        <w:rPr>
          <w:rFonts w:ascii="Arial" w:hAnsi="Arial" w:cs="Arial"/>
        </w:rPr>
        <w:tab/>
        <w:t>nawierzchnia granitowa do istniejącego/odbudowywanego amfiteatru,</w:t>
      </w:r>
    </w:p>
    <w:p w:rsidR="00EE06F2" w:rsidRDefault="00EE06F2" w:rsidP="00EE06F2">
      <w:pPr>
        <w:ind w:left="426" w:hanging="426"/>
        <w:jc w:val="both"/>
        <w:rPr>
          <w:rFonts w:ascii="Arial" w:hAnsi="Arial" w:cs="Arial"/>
        </w:rPr>
      </w:pPr>
      <w:r>
        <w:rPr>
          <w:rFonts w:ascii="Arial" w:hAnsi="Arial" w:cs="Arial"/>
        </w:rPr>
        <w:t>-</w:t>
      </w:r>
      <w:r>
        <w:rPr>
          <w:rFonts w:ascii="Arial" w:hAnsi="Arial" w:cs="Arial"/>
        </w:rPr>
        <w:tab/>
        <w:t>modernizacja stawu (oczyszczenie stawu, 2 pomosty widokowe, domek dla łabędzi, fontanna pływająca)</w:t>
      </w:r>
    </w:p>
    <w:p w:rsidR="00EE06F2" w:rsidRDefault="00EE06F2" w:rsidP="00EE06F2">
      <w:pPr>
        <w:ind w:left="426" w:hanging="426"/>
        <w:jc w:val="both"/>
        <w:rPr>
          <w:rFonts w:ascii="Arial" w:hAnsi="Arial" w:cs="Arial"/>
        </w:rPr>
      </w:pPr>
      <w:r>
        <w:rPr>
          <w:rFonts w:ascii="Arial" w:hAnsi="Arial" w:cs="Arial"/>
        </w:rPr>
        <w:t>-</w:t>
      </w:r>
      <w:r>
        <w:rPr>
          <w:rFonts w:ascii="Arial" w:hAnsi="Arial" w:cs="Arial"/>
        </w:rPr>
        <w:tab/>
        <w:t>alejki nawierzchnia mineralna typu Hanse Grand w obrzeżu metalowym lub z kostki granitowe,</w:t>
      </w:r>
    </w:p>
    <w:p w:rsidR="00EE06F2" w:rsidRDefault="00EE06F2" w:rsidP="00EE06F2">
      <w:pPr>
        <w:ind w:left="426" w:hanging="426"/>
        <w:jc w:val="both"/>
        <w:rPr>
          <w:rFonts w:ascii="Arial" w:hAnsi="Arial" w:cs="Arial"/>
        </w:rPr>
      </w:pPr>
      <w:r>
        <w:rPr>
          <w:rFonts w:ascii="Arial" w:hAnsi="Arial" w:cs="Arial"/>
        </w:rPr>
        <w:t>-</w:t>
      </w:r>
      <w:r>
        <w:rPr>
          <w:rFonts w:ascii="Arial" w:hAnsi="Arial" w:cs="Arial"/>
        </w:rPr>
        <w:tab/>
        <w:t>oświetlenie parkowe – oświetlenie energooszczędne typu LED winno posiadać możliwość sterowania i programowania zgodnie z zaplanowanym systemem miejskiego oświetlenia,</w:t>
      </w:r>
    </w:p>
    <w:p w:rsidR="00EE06F2" w:rsidRDefault="00EE06F2" w:rsidP="00EE06F2">
      <w:pPr>
        <w:ind w:left="426" w:hanging="426"/>
        <w:jc w:val="both"/>
        <w:rPr>
          <w:rFonts w:ascii="Arial" w:hAnsi="Arial" w:cs="Arial"/>
        </w:rPr>
      </w:pPr>
      <w:r>
        <w:rPr>
          <w:rFonts w:ascii="Arial" w:hAnsi="Arial" w:cs="Arial"/>
        </w:rPr>
        <w:t>-</w:t>
      </w:r>
      <w:r>
        <w:rPr>
          <w:rFonts w:ascii="Arial" w:hAnsi="Arial" w:cs="Arial"/>
        </w:rPr>
        <w:tab/>
        <w:t>odbudowa amfiteatru o podobnej pow. Zabudowy do istniejącej oraz nawiązująca do wyburzonej ze względu na zły stan techniczny muszli koncertowej (amfiteatr w formie membrany na konstrukcji stalowej lub drewnianej)</w:t>
      </w:r>
    </w:p>
    <w:p w:rsidR="00EE06F2" w:rsidRDefault="00EE06F2" w:rsidP="00EE06F2">
      <w:pPr>
        <w:ind w:left="426" w:hanging="426"/>
        <w:jc w:val="both"/>
        <w:rPr>
          <w:rFonts w:ascii="Arial" w:hAnsi="Arial" w:cs="Arial"/>
        </w:rPr>
      </w:pPr>
      <w:r>
        <w:rPr>
          <w:rFonts w:ascii="Arial" w:hAnsi="Arial" w:cs="Arial"/>
        </w:rPr>
        <w:t>-</w:t>
      </w:r>
      <w:r>
        <w:rPr>
          <w:rFonts w:ascii="Arial" w:hAnsi="Arial" w:cs="Arial"/>
        </w:rPr>
        <w:tab/>
        <w:t>rozbudowa istniejącego zaplecza o toalety wraz z modernizacją istniejących pomieszczeń,</w:t>
      </w:r>
    </w:p>
    <w:p w:rsidR="00EE06F2" w:rsidRDefault="00EE06F2" w:rsidP="00EE06F2">
      <w:pPr>
        <w:ind w:left="426" w:hanging="426"/>
        <w:jc w:val="both"/>
        <w:rPr>
          <w:rFonts w:ascii="Arial" w:hAnsi="Arial" w:cs="Arial"/>
        </w:rPr>
      </w:pPr>
      <w:r>
        <w:rPr>
          <w:rFonts w:ascii="Arial" w:hAnsi="Arial" w:cs="Arial"/>
        </w:rPr>
        <w:t>-</w:t>
      </w:r>
      <w:r>
        <w:rPr>
          <w:rFonts w:ascii="Arial" w:hAnsi="Arial" w:cs="Arial"/>
        </w:rPr>
        <w:tab/>
        <w:t>altana w formie pawilonowej,</w:t>
      </w:r>
    </w:p>
    <w:p w:rsidR="00EE06F2" w:rsidRDefault="00EE06F2" w:rsidP="00EE06F2">
      <w:pPr>
        <w:ind w:left="426" w:hanging="426"/>
        <w:jc w:val="both"/>
        <w:rPr>
          <w:rFonts w:ascii="Arial" w:hAnsi="Arial" w:cs="Arial"/>
        </w:rPr>
      </w:pPr>
      <w:r>
        <w:rPr>
          <w:rFonts w:ascii="Arial" w:hAnsi="Arial" w:cs="Arial"/>
        </w:rPr>
        <w:t>-</w:t>
      </w:r>
      <w:r>
        <w:rPr>
          <w:rFonts w:ascii="Arial" w:hAnsi="Arial" w:cs="Arial"/>
        </w:rPr>
        <w:tab/>
        <w:t>widownia w amfiteatrze,</w:t>
      </w:r>
    </w:p>
    <w:p w:rsidR="00EE06F2" w:rsidRDefault="00EE06F2" w:rsidP="00EE06F2">
      <w:pPr>
        <w:ind w:left="426" w:hanging="426"/>
        <w:jc w:val="both"/>
        <w:rPr>
          <w:rFonts w:ascii="Arial" w:hAnsi="Arial" w:cs="Arial"/>
        </w:rPr>
      </w:pPr>
      <w:r>
        <w:rPr>
          <w:rFonts w:ascii="Arial" w:hAnsi="Arial" w:cs="Arial"/>
        </w:rPr>
        <w:t>-</w:t>
      </w:r>
      <w:r>
        <w:rPr>
          <w:rFonts w:ascii="Arial" w:hAnsi="Arial" w:cs="Arial"/>
        </w:rPr>
        <w:tab/>
        <w:t>wycinka istniejących w amfiteatrze drzew wraz z nowymi nasadzeniami np. buk kolumnowy,</w:t>
      </w:r>
    </w:p>
    <w:p w:rsidR="00EE06F2" w:rsidRDefault="00EE06F2" w:rsidP="00EE06F2">
      <w:pPr>
        <w:ind w:left="426" w:hanging="426"/>
        <w:jc w:val="both"/>
        <w:rPr>
          <w:rFonts w:ascii="Arial" w:hAnsi="Arial" w:cs="Arial"/>
        </w:rPr>
      </w:pPr>
      <w:r>
        <w:rPr>
          <w:rFonts w:ascii="Arial" w:hAnsi="Arial" w:cs="Arial"/>
        </w:rPr>
        <w:lastRenderedPageBreak/>
        <w:t>-</w:t>
      </w:r>
      <w:r>
        <w:rPr>
          <w:rFonts w:ascii="Arial" w:hAnsi="Arial" w:cs="Arial"/>
        </w:rPr>
        <w:tab/>
        <w:t>pielęgnacja oraz dodatkowe nasadzenia żywopłotów wzdłuż ogrodzeń,</w:t>
      </w:r>
    </w:p>
    <w:p w:rsidR="00EE06F2" w:rsidRDefault="00EE06F2" w:rsidP="00EE06F2">
      <w:pPr>
        <w:ind w:left="426" w:hanging="426"/>
        <w:jc w:val="both"/>
        <w:rPr>
          <w:rFonts w:ascii="Arial" w:hAnsi="Arial" w:cs="Arial"/>
        </w:rPr>
      </w:pPr>
      <w:r>
        <w:rPr>
          <w:rFonts w:ascii="Arial" w:hAnsi="Arial" w:cs="Arial"/>
        </w:rPr>
        <w:t>-</w:t>
      </w:r>
      <w:r>
        <w:rPr>
          <w:rFonts w:ascii="Arial" w:hAnsi="Arial" w:cs="Arial"/>
        </w:rPr>
        <w:tab/>
        <w:t xml:space="preserve">bramy we wszystkich wejściach do parku </w:t>
      </w:r>
      <w:r w:rsidR="00642B42">
        <w:rPr>
          <w:rFonts w:ascii="Arial" w:hAnsi="Arial" w:cs="Arial"/>
        </w:rPr>
        <w:t xml:space="preserve">wraz z systemem automatycznego zamykania </w:t>
      </w:r>
      <w:r>
        <w:rPr>
          <w:rFonts w:ascii="Arial" w:hAnsi="Arial" w:cs="Arial"/>
        </w:rPr>
        <w:t xml:space="preserve">(planowane jest zamykanie </w:t>
      </w:r>
      <w:r w:rsidR="00642B42">
        <w:rPr>
          <w:rFonts w:ascii="Arial" w:hAnsi="Arial" w:cs="Arial"/>
        </w:rPr>
        <w:t>parku w godzinach nocnych),</w:t>
      </w:r>
    </w:p>
    <w:p w:rsidR="00642B42" w:rsidRDefault="00642B42" w:rsidP="00EE06F2">
      <w:pPr>
        <w:ind w:left="426" w:hanging="426"/>
        <w:jc w:val="both"/>
        <w:rPr>
          <w:rFonts w:ascii="Arial" w:hAnsi="Arial" w:cs="Arial"/>
        </w:rPr>
      </w:pPr>
      <w:r>
        <w:rPr>
          <w:rFonts w:ascii="Arial" w:hAnsi="Arial" w:cs="Arial"/>
        </w:rPr>
        <w:t>-</w:t>
      </w:r>
      <w:r>
        <w:rPr>
          <w:rFonts w:ascii="Arial" w:hAnsi="Arial" w:cs="Arial"/>
        </w:rPr>
        <w:tab/>
        <w:t>system monitoringu lokalizowany na słupach oświetleniowych,</w:t>
      </w:r>
    </w:p>
    <w:p w:rsidR="00642B42" w:rsidRDefault="00642B42" w:rsidP="00EE06F2">
      <w:pPr>
        <w:ind w:left="426" w:hanging="426"/>
        <w:jc w:val="both"/>
        <w:rPr>
          <w:rFonts w:ascii="Arial" w:hAnsi="Arial" w:cs="Arial"/>
        </w:rPr>
      </w:pPr>
      <w:r>
        <w:rPr>
          <w:rFonts w:ascii="Arial" w:hAnsi="Arial" w:cs="Arial"/>
        </w:rPr>
        <w:t>-</w:t>
      </w:r>
      <w:r>
        <w:rPr>
          <w:rFonts w:ascii="Arial" w:hAnsi="Arial" w:cs="Arial"/>
        </w:rPr>
        <w:tab/>
        <w:t>rewitalizacja, uzupełnienie, wymiana uszkodzonych fragmentów istniejących w parku rzeźb oraz ich wyeksponowanie i podświetlenie</w:t>
      </w:r>
      <w:r w:rsidR="00513314">
        <w:rPr>
          <w:rFonts w:ascii="Arial" w:hAnsi="Arial" w:cs="Arial"/>
        </w:rPr>
        <w:t>,</w:t>
      </w:r>
    </w:p>
    <w:p w:rsidR="00513314" w:rsidRDefault="00513314" w:rsidP="00EE06F2">
      <w:pPr>
        <w:ind w:left="426" w:hanging="426"/>
        <w:jc w:val="both"/>
        <w:rPr>
          <w:rFonts w:ascii="Arial" w:hAnsi="Arial" w:cs="Arial"/>
        </w:rPr>
      </w:pPr>
      <w:r>
        <w:rPr>
          <w:rFonts w:ascii="Arial" w:hAnsi="Arial" w:cs="Arial"/>
        </w:rPr>
        <w:t>-</w:t>
      </w:r>
      <w:r>
        <w:rPr>
          <w:rFonts w:ascii="Arial" w:hAnsi="Arial" w:cs="Arial"/>
        </w:rPr>
        <w:tab/>
        <w:t>rewitalizacja fontanny (min. odrestaurowanie istniejących rzeźb, wykonanie elementów z piaskowca, system dysz, oświetlenie i technologia fontannowa z możliwością sterowania)</w:t>
      </w:r>
    </w:p>
    <w:p w:rsidR="00513314" w:rsidRDefault="00513314" w:rsidP="00513314">
      <w:pPr>
        <w:ind w:left="426" w:hanging="426"/>
        <w:jc w:val="both"/>
        <w:rPr>
          <w:rFonts w:ascii="Arial" w:hAnsi="Arial" w:cs="Arial"/>
        </w:rPr>
      </w:pPr>
      <w:r>
        <w:rPr>
          <w:rFonts w:ascii="Arial" w:hAnsi="Arial" w:cs="Arial"/>
        </w:rPr>
        <w:t>-</w:t>
      </w:r>
      <w:r>
        <w:rPr>
          <w:rFonts w:ascii="Arial" w:hAnsi="Arial" w:cs="Arial"/>
        </w:rPr>
        <w:tab/>
        <w:t>przebudowa schodów wejściowych do Parku od ul. Browarnej  - elementy z kostki/płyty granitowej z podświetleniem. (dopuszcza się zastosowanie uszlachetnionej kostki betonowej z det</w:t>
      </w:r>
      <w:r w:rsidR="00A21FA3">
        <w:rPr>
          <w:rFonts w:ascii="Arial" w:hAnsi="Arial" w:cs="Arial"/>
        </w:rPr>
        <w:t>alami z kostki/płyty granitowej,</w:t>
      </w:r>
    </w:p>
    <w:p w:rsidR="00A21FA3" w:rsidRDefault="00A21FA3" w:rsidP="00513314">
      <w:pPr>
        <w:ind w:left="426" w:hanging="426"/>
        <w:jc w:val="both"/>
        <w:rPr>
          <w:rFonts w:ascii="Arial" w:hAnsi="Arial" w:cs="Arial"/>
        </w:rPr>
      </w:pPr>
      <w:r>
        <w:rPr>
          <w:rFonts w:ascii="Arial" w:hAnsi="Arial" w:cs="Arial"/>
        </w:rPr>
        <w:t>-</w:t>
      </w:r>
      <w:r>
        <w:rPr>
          <w:rFonts w:ascii="Arial" w:hAnsi="Arial" w:cs="Arial"/>
        </w:rPr>
        <w:tab/>
        <w:t>odnowienie bramy wejściowej od strony ul. Browarnej – wszystkie projektowane bramy winny mieć jednolity charakter i formę nawiązującą do bramy wejściowej od ul. Browarnej,</w:t>
      </w:r>
    </w:p>
    <w:p w:rsidR="00513314" w:rsidRDefault="00513314" w:rsidP="00513314">
      <w:pPr>
        <w:ind w:left="426" w:hanging="426"/>
        <w:jc w:val="both"/>
        <w:rPr>
          <w:rFonts w:ascii="Arial" w:hAnsi="Arial" w:cs="Arial"/>
        </w:rPr>
      </w:pPr>
      <w:r>
        <w:rPr>
          <w:rFonts w:ascii="Arial" w:hAnsi="Arial" w:cs="Arial"/>
        </w:rPr>
        <w:t>-</w:t>
      </w:r>
      <w:r>
        <w:rPr>
          <w:rFonts w:ascii="Arial" w:hAnsi="Arial" w:cs="Arial"/>
        </w:rPr>
        <w:tab/>
        <w:t>schody powinny zapewniać spełnienie zasad dostępności – dopuszcza się zaprojektowanie podjazdu/zjazdu dla wózków (osoby niepełnosprawne/dzieci) w miejscu istniejącego przedeptu,</w:t>
      </w:r>
    </w:p>
    <w:p w:rsidR="00513314" w:rsidRDefault="00513314" w:rsidP="00513314">
      <w:pPr>
        <w:ind w:left="426" w:hanging="426"/>
        <w:jc w:val="both"/>
        <w:rPr>
          <w:rFonts w:ascii="Arial" w:hAnsi="Arial" w:cs="Arial"/>
        </w:rPr>
      </w:pPr>
      <w:r>
        <w:rPr>
          <w:rFonts w:ascii="Arial" w:hAnsi="Arial" w:cs="Arial"/>
        </w:rPr>
        <w:t>-</w:t>
      </w:r>
      <w:r>
        <w:rPr>
          <w:rFonts w:ascii="Arial" w:hAnsi="Arial" w:cs="Arial"/>
        </w:rPr>
        <w:tab/>
        <w:t xml:space="preserve">eliminacja </w:t>
      </w:r>
      <w:r w:rsidR="00A21FA3">
        <w:rPr>
          <w:rFonts w:ascii="Arial" w:hAnsi="Arial" w:cs="Arial"/>
        </w:rPr>
        <w:t>napływu</w:t>
      </w:r>
      <w:r>
        <w:rPr>
          <w:rFonts w:ascii="Arial" w:hAnsi="Arial" w:cs="Arial"/>
        </w:rPr>
        <w:t xml:space="preserve"> wód d</w:t>
      </w:r>
      <w:r w:rsidR="00A21FA3">
        <w:rPr>
          <w:rFonts w:ascii="Arial" w:hAnsi="Arial" w:cs="Arial"/>
        </w:rPr>
        <w:t>eszczowych z ul. Browarnej, ośrodka Miejskiego Centrum Kultury powodującego erozję skarp,</w:t>
      </w:r>
    </w:p>
    <w:p w:rsidR="00A21FA3" w:rsidRDefault="00A21FA3" w:rsidP="00513314">
      <w:pPr>
        <w:ind w:left="426" w:hanging="426"/>
        <w:jc w:val="both"/>
        <w:rPr>
          <w:rFonts w:ascii="Arial" w:hAnsi="Arial" w:cs="Arial"/>
        </w:rPr>
      </w:pPr>
      <w:r>
        <w:rPr>
          <w:rFonts w:ascii="Arial" w:hAnsi="Arial" w:cs="Arial"/>
        </w:rPr>
        <w:t>-</w:t>
      </w:r>
      <w:r>
        <w:rPr>
          <w:rFonts w:ascii="Arial" w:hAnsi="Arial" w:cs="Arial"/>
        </w:rPr>
        <w:tab/>
        <w:t>zagospodarowanie wód naturalnego cieku wodnego zlokalizowanego przy skarpie na cele nawodnienia zieleni parkowej (np. niecki infiltracyjne, ogród deszczowy)</w:t>
      </w:r>
    </w:p>
    <w:p w:rsidR="00A21FA3" w:rsidRDefault="00A21FA3" w:rsidP="00513314">
      <w:pPr>
        <w:ind w:left="426" w:hanging="426"/>
        <w:jc w:val="both"/>
        <w:rPr>
          <w:rFonts w:ascii="Arial" w:hAnsi="Arial" w:cs="Arial"/>
        </w:rPr>
      </w:pPr>
      <w:r>
        <w:rPr>
          <w:rFonts w:ascii="Arial" w:hAnsi="Arial" w:cs="Arial"/>
        </w:rPr>
        <w:t>-</w:t>
      </w:r>
      <w:r>
        <w:rPr>
          <w:rFonts w:ascii="Arial" w:hAnsi="Arial" w:cs="Arial"/>
        </w:rPr>
        <w:tab/>
        <w:t>przejście (ścieżka trawersowa) z Muzeum znajdującego się z bezpośrednim sąsiedztwie Parku,</w:t>
      </w:r>
    </w:p>
    <w:p w:rsidR="00A21FA3" w:rsidRDefault="00A21FA3" w:rsidP="00513314">
      <w:pPr>
        <w:ind w:left="426" w:hanging="426"/>
        <w:jc w:val="both"/>
        <w:rPr>
          <w:rFonts w:ascii="Arial" w:hAnsi="Arial" w:cs="Arial"/>
        </w:rPr>
      </w:pPr>
      <w:r>
        <w:rPr>
          <w:rFonts w:ascii="Arial" w:hAnsi="Arial" w:cs="Arial"/>
        </w:rPr>
        <w:t>-</w:t>
      </w:r>
      <w:r>
        <w:rPr>
          <w:rFonts w:ascii="Arial" w:hAnsi="Arial" w:cs="Arial"/>
        </w:rPr>
        <w:tab/>
        <w:t xml:space="preserve">rewitalizacja i pielęgnacja istniejącego drzewostanu ze szczególnym uwzględnieniem opinii dendrologicznych i możliwym zastąpieniem topoli gatunkami rodzimymi charakterystycznymi dla ówczesnych założeń parkowych – zamawiający w roku 2021 dokonał oceny drzewostanu i jego częściowej pielęgnacji </w:t>
      </w:r>
    </w:p>
    <w:p w:rsidR="00A21FA3" w:rsidRDefault="00A21FA3" w:rsidP="00513314">
      <w:pPr>
        <w:ind w:left="426" w:hanging="426"/>
        <w:jc w:val="both"/>
        <w:rPr>
          <w:rFonts w:ascii="Arial" w:hAnsi="Arial" w:cs="Arial"/>
        </w:rPr>
      </w:pPr>
      <w:r>
        <w:rPr>
          <w:rFonts w:ascii="Arial" w:hAnsi="Arial" w:cs="Arial"/>
        </w:rPr>
        <w:t>-</w:t>
      </w:r>
      <w:r>
        <w:rPr>
          <w:rFonts w:ascii="Arial" w:hAnsi="Arial" w:cs="Arial"/>
        </w:rPr>
        <w:tab/>
        <w:t xml:space="preserve">nowe nasadzenia i </w:t>
      </w:r>
      <w:r w:rsidR="00B84590">
        <w:rPr>
          <w:rFonts w:ascii="Arial" w:hAnsi="Arial" w:cs="Arial"/>
        </w:rPr>
        <w:t>uzupełnienie istniejących (krzewy, rośliny, rabaty) – wymaga się zastosowania roślin i krzewów wieloletnich, rodzimych, odpornych na zmiany klimatyczne i charakterystycznych dla ówczesnych założeń parkowych, należy przewidzieć kwietne łąki wielosezonowe, należy szczególną uwagę poświęcić zachowaniu istniejącego runa,</w:t>
      </w:r>
    </w:p>
    <w:p w:rsidR="00B84590" w:rsidRDefault="00B84590" w:rsidP="00513314">
      <w:pPr>
        <w:ind w:left="426" w:hanging="426"/>
        <w:jc w:val="both"/>
        <w:rPr>
          <w:rFonts w:ascii="Arial" w:hAnsi="Arial" w:cs="Arial"/>
        </w:rPr>
      </w:pPr>
      <w:r>
        <w:rPr>
          <w:rFonts w:ascii="Arial" w:hAnsi="Arial" w:cs="Arial"/>
        </w:rPr>
        <w:t>-</w:t>
      </w:r>
      <w:r>
        <w:rPr>
          <w:rFonts w:ascii="Arial" w:hAnsi="Arial" w:cs="Arial"/>
        </w:rPr>
        <w:tab/>
        <w:t>modernizacja istniejącego placu zabaw,</w:t>
      </w:r>
    </w:p>
    <w:p w:rsidR="00B84590" w:rsidRDefault="00B84590" w:rsidP="00513314">
      <w:pPr>
        <w:ind w:left="426" w:hanging="426"/>
        <w:jc w:val="both"/>
        <w:rPr>
          <w:rFonts w:ascii="Arial" w:hAnsi="Arial" w:cs="Arial"/>
        </w:rPr>
      </w:pPr>
      <w:r>
        <w:rPr>
          <w:rFonts w:ascii="Arial" w:hAnsi="Arial" w:cs="Arial"/>
        </w:rPr>
        <w:t>-</w:t>
      </w:r>
      <w:r>
        <w:rPr>
          <w:rFonts w:ascii="Arial" w:hAnsi="Arial" w:cs="Arial"/>
        </w:rPr>
        <w:tab/>
        <w:t>od strony wejścia przy ul. św. Anotniego należy przewidzieć wybieg dla psów (poza częścią stricte parkową).</w:t>
      </w:r>
    </w:p>
    <w:p w:rsidR="00FB73D1" w:rsidRDefault="00FB73D1" w:rsidP="00513314">
      <w:pPr>
        <w:ind w:left="426" w:hanging="426"/>
        <w:jc w:val="both"/>
        <w:rPr>
          <w:rFonts w:ascii="Arial" w:hAnsi="Arial" w:cs="Arial"/>
        </w:rPr>
      </w:pPr>
      <w:r>
        <w:rPr>
          <w:rFonts w:ascii="Arial" w:hAnsi="Arial" w:cs="Arial"/>
        </w:rPr>
        <w:t>-</w:t>
      </w:r>
      <w:r>
        <w:rPr>
          <w:rFonts w:ascii="Arial" w:hAnsi="Arial" w:cs="Arial"/>
        </w:rPr>
        <w:tab/>
        <w:t>elementy małej architektury – ze względu na specyfikę parku zamawiający wymaga zaprojektowania indywidualnego mebla i motywu charakterystycznego dla Parku Solidarność</w:t>
      </w:r>
    </w:p>
    <w:p w:rsidR="00FB73D1" w:rsidRDefault="00FB73D1" w:rsidP="00513314">
      <w:pPr>
        <w:ind w:left="426" w:hanging="426"/>
        <w:jc w:val="both"/>
        <w:rPr>
          <w:rFonts w:ascii="Arial" w:hAnsi="Arial" w:cs="Arial"/>
        </w:rPr>
      </w:pPr>
      <w:r>
        <w:rPr>
          <w:rFonts w:ascii="Arial" w:hAnsi="Arial" w:cs="Arial"/>
        </w:rPr>
        <w:t>-</w:t>
      </w:r>
      <w:r>
        <w:rPr>
          <w:rFonts w:ascii="Arial" w:hAnsi="Arial" w:cs="Arial"/>
        </w:rPr>
        <w:tab/>
        <w:t>infrastruktura elektro - energetyczna np. przyłącza, skablowanie istniejącej sieci elektro-energetycznej w części parku,</w:t>
      </w:r>
    </w:p>
    <w:p w:rsidR="00FB73D1" w:rsidRDefault="00FB73D1" w:rsidP="00513314">
      <w:pPr>
        <w:ind w:left="426" w:hanging="426"/>
        <w:jc w:val="both"/>
        <w:rPr>
          <w:rFonts w:ascii="Arial" w:hAnsi="Arial" w:cs="Arial"/>
        </w:rPr>
      </w:pPr>
      <w:r>
        <w:rPr>
          <w:rFonts w:ascii="Arial" w:hAnsi="Arial" w:cs="Arial"/>
        </w:rPr>
        <w:t>-</w:t>
      </w:r>
      <w:r>
        <w:rPr>
          <w:rFonts w:ascii="Arial" w:hAnsi="Arial" w:cs="Arial"/>
        </w:rPr>
        <w:tab/>
        <w:t>modernizacja stawideł łączących staw parkowy z rzeką Wolbórką.</w:t>
      </w:r>
    </w:p>
    <w:p w:rsidR="00FB73D1" w:rsidRDefault="00FB73D1" w:rsidP="00513314">
      <w:pPr>
        <w:ind w:left="426" w:hanging="426"/>
        <w:jc w:val="both"/>
        <w:rPr>
          <w:rFonts w:ascii="Arial" w:hAnsi="Arial" w:cs="Arial"/>
        </w:rPr>
      </w:pPr>
      <w:r>
        <w:rPr>
          <w:rFonts w:ascii="Arial" w:hAnsi="Arial" w:cs="Arial"/>
        </w:rPr>
        <w:t>-</w:t>
      </w:r>
      <w:r>
        <w:rPr>
          <w:rFonts w:ascii="Arial" w:hAnsi="Arial" w:cs="Arial"/>
        </w:rPr>
        <w:tab/>
        <w:t>dodatkowe oświetlenie iluminacyjne charakterystycznych elementów parku np. amfiteatr, rzeźby, schody główne, pomniki przyrody – iluminacja winna posiadać możliwość sterowania zarówno w zakresie czasu jak i kolorystyki.</w:t>
      </w:r>
    </w:p>
    <w:p w:rsidR="00642B42" w:rsidRDefault="00FB73D1" w:rsidP="00FB73D1">
      <w:pPr>
        <w:jc w:val="both"/>
        <w:rPr>
          <w:rFonts w:ascii="Arial" w:hAnsi="Arial" w:cs="Arial"/>
        </w:rPr>
      </w:pPr>
      <w:r>
        <w:rPr>
          <w:rFonts w:ascii="Arial" w:hAnsi="Arial" w:cs="Arial"/>
        </w:rPr>
        <w:lastRenderedPageBreak/>
        <w:t>Zamawiający wskazuje, iż projektowane rozwiązania techniczne, winny mieć spójny i jednolity charakter.</w:t>
      </w:r>
    </w:p>
    <w:p w:rsidR="00FB73D1" w:rsidRDefault="00FB73D1" w:rsidP="00FB73D1">
      <w:pPr>
        <w:jc w:val="both"/>
        <w:rPr>
          <w:rFonts w:ascii="Arial" w:hAnsi="Arial" w:cs="Arial"/>
        </w:rPr>
      </w:pPr>
      <w:r>
        <w:rPr>
          <w:rFonts w:ascii="Arial" w:hAnsi="Arial" w:cs="Arial"/>
        </w:rPr>
        <w:t>Wykonawca zobowiązany będzie przedstawić min. 2 różne rozwiązania koncepcyjne, w tym dotyczące elementów infrastruktury, małej architektury, amfiteatru, zagospodarowania zieleni, wraz z wizualizacjami. Zamawiający zastrzega sobie prawo do wprowadzania zmian w przedstawionych rozwiązaniach koncepcyjnych</w:t>
      </w:r>
    </w:p>
    <w:p w:rsidR="00FB73D1" w:rsidRDefault="00FB73D1" w:rsidP="00FB73D1">
      <w:pPr>
        <w:jc w:val="both"/>
        <w:rPr>
          <w:rFonts w:ascii="Arial" w:hAnsi="Arial" w:cs="Arial"/>
        </w:rPr>
      </w:pPr>
    </w:p>
    <w:p w:rsidR="00707C02" w:rsidRPr="004C5373" w:rsidRDefault="00DD39E0" w:rsidP="004C5373">
      <w:pPr>
        <w:jc w:val="both"/>
        <w:rPr>
          <w:rFonts w:ascii="Arial" w:hAnsi="Arial" w:cs="Arial"/>
          <w:color w:val="000000" w:themeColor="text1"/>
        </w:rPr>
      </w:pPr>
      <w:r>
        <w:rPr>
          <w:rFonts w:ascii="Arial" w:hAnsi="Arial" w:cs="Arial"/>
          <w:color w:val="000000" w:themeColor="text1"/>
        </w:rPr>
        <w:t xml:space="preserve">OPIS I </w:t>
      </w:r>
      <w:r w:rsidR="00707C02" w:rsidRPr="004C5373">
        <w:rPr>
          <w:rFonts w:ascii="Arial" w:hAnsi="Arial" w:cs="Arial"/>
          <w:color w:val="000000" w:themeColor="text1"/>
        </w:rPr>
        <w:t xml:space="preserve">RYS HISTORYCZNY </w:t>
      </w:r>
    </w:p>
    <w:p w:rsidR="004C5373" w:rsidRPr="004C5373" w:rsidRDefault="004C5373" w:rsidP="004C5373">
      <w:pPr>
        <w:jc w:val="both"/>
        <w:rPr>
          <w:rFonts w:ascii="Arial" w:hAnsi="Arial" w:cs="Arial"/>
          <w:color w:val="000000" w:themeColor="text1"/>
          <w:shd w:val="clear" w:color="auto" w:fill="FFFFFF"/>
        </w:rPr>
      </w:pPr>
      <w:r w:rsidRPr="004C5373">
        <w:rPr>
          <w:rFonts w:ascii="Arial" w:hAnsi="Arial" w:cs="Arial"/>
          <w:color w:val="000000" w:themeColor="text1"/>
          <w:shd w:val="clear" w:color="auto" w:fill="FFFFFF"/>
        </w:rPr>
        <w:t xml:space="preserve">W parku znajdują się utwardzone ciągi komunikacyjne – aleje i alejki, które zbiegają się </w:t>
      </w:r>
      <w:r>
        <w:rPr>
          <w:rFonts w:ascii="Arial" w:hAnsi="Arial" w:cs="Arial"/>
          <w:color w:val="000000" w:themeColor="text1"/>
          <w:shd w:val="clear" w:color="auto" w:fill="FFFFFF"/>
        </w:rPr>
        <w:br/>
      </w:r>
      <w:r w:rsidRPr="004C5373">
        <w:rPr>
          <w:rFonts w:ascii="Arial" w:hAnsi="Arial" w:cs="Arial"/>
          <w:color w:val="000000" w:themeColor="text1"/>
          <w:shd w:val="clear" w:color="auto" w:fill="FFFFFF"/>
        </w:rPr>
        <w:t>w centralnym punkcie parku, przy fontannie. Jedna z alei, odchodząca na wschód, przebiega koliście wokół parku. Wzdłuż wyt</w:t>
      </w:r>
      <w:r w:rsidR="00DD39E0">
        <w:rPr>
          <w:rFonts w:ascii="Arial" w:hAnsi="Arial" w:cs="Arial"/>
          <w:color w:val="000000" w:themeColor="text1"/>
          <w:shd w:val="clear" w:color="auto" w:fill="FFFFFF"/>
        </w:rPr>
        <w:t>yczonych alei</w:t>
      </w:r>
      <w:r w:rsidRPr="004C5373">
        <w:rPr>
          <w:rFonts w:ascii="Arial" w:hAnsi="Arial" w:cs="Arial"/>
          <w:color w:val="000000" w:themeColor="text1"/>
          <w:shd w:val="clear" w:color="auto" w:fill="FFFFFF"/>
        </w:rPr>
        <w:t xml:space="preserve"> rozmieszczone są ławki. Na terenie parku znajduj</w:t>
      </w:r>
      <w:r>
        <w:rPr>
          <w:rFonts w:ascii="Arial" w:hAnsi="Arial" w:cs="Arial"/>
          <w:color w:val="000000" w:themeColor="text1"/>
          <w:shd w:val="clear" w:color="auto" w:fill="FFFFFF"/>
        </w:rPr>
        <w:t xml:space="preserve">e się budynek Miejskiego Centrum Kultury. Atrakcją parku był </w:t>
      </w:r>
      <w:r w:rsidRPr="004C5373">
        <w:rPr>
          <w:rFonts w:ascii="Arial" w:hAnsi="Arial" w:cs="Arial"/>
          <w:color w:val="000000" w:themeColor="text1"/>
          <w:shd w:val="clear" w:color="auto" w:fill="FFFFFF"/>
        </w:rPr>
        <w:t>amfiteatr z m</w:t>
      </w:r>
      <w:r>
        <w:rPr>
          <w:rFonts w:ascii="Arial" w:hAnsi="Arial" w:cs="Arial"/>
          <w:color w:val="000000" w:themeColor="text1"/>
          <w:shd w:val="clear" w:color="auto" w:fill="FFFFFF"/>
        </w:rPr>
        <w:t>uszlą koncertową, gdzie odbywały</w:t>
      </w:r>
      <w:r w:rsidRPr="004C5373">
        <w:rPr>
          <w:rFonts w:ascii="Arial" w:hAnsi="Arial" w:cs="Arial"/>
          <w:color w:val="000000" w:themeColor="text1"/>
          <w:shd w:val="clear" w:color="auto" w:fill="FFFFFF"/>
        </w:rPr>
        <w:t xml:space="preserve"> się festyny, koncerty, przedstawienia plenerowe.</w:t>
      </w:r>
      <w:r>
        <w:rPr>
          <w:rFonts w:ascii="Arial" w:hAnsi="Arial" w:cs="Arial"/>
          <w:color w:val="000000" w:themeColor="text1"/>
          <w:shd w:val="clear" w:color="auto" w:fill="FFFFFF"/>
        </w:rPr>
        <w:t xml:space="preserve"> Obecnie</w:t>
      </w:r>
      <w:r w:rsidR="00DD39E0">
        <w:rPr>
          <w:rFonts w:ascii="Arial" w:hAnsi="Arial" w:cs="Arial"/>
          <w:color w:val="000000" w:themeColor="text1"/>
          <w:shd w:val="clear" w:color="auto" w:fill="FFFFFF"/>
        </w:rPr>
        <w:t xml:space="preserve"> ze względu na stan techniczny m</w:t>
      </w:r>
      <w:r>
        <w:rPr>
          <w:rFonts w:ascii="Arial" w:hAnsi="Arial" w:cs="Arial"/>
          <w:color w:val="000000" w:themeColor="text1"/>
          <w:shd w:val="clear" w:color="auto" w:fill="FFFFFF"/>
        </w:rPr>
        <w:t xml:space="preserve">uszla </w:t>
      </w:r>
      <w:r w:rsidR="00DD39E0">
        <w:rPr>
          <w:rFonts w:ascii="Arial" w:hAnsi="Arial" w:cs="Arial"/>
          <w:color w:val="000000" w:themeColor="text1"/>
          <w:shd w:val="clear" w:color="auto" w:fill="FFFFFF"/>
        </w:rPr>
        <w:t xml:space="preserve"> koncertowa </w:t>
      </w:r>
      <w:r>
        <w:rPr>
          <w:rFonts w:ascii="Arial" w:hAnsi="Arial" w:cs="Arial"/>
          <w:color w:val="000000" w:themeColor="text1"/>
          <w:shd w:val="clear" w:color="auto" w:fill="FFFFFF"/>
        </w:rPr>
        <w:t>została wyburzona.</w:t>
      </w:r>
      <w:r w:rsidRPr="004C5373">
        <w:rPr>
          <w:rFonts w:ascii="Arial" w:hAnsi="Arial" w:cs="Arial"/>
          <w:color w:val="000000" w:themeColor="text1"/>
          <w:shd w:val="clear" w:color="auto" w:fill="FFFFFF"/>
        </w:rPr>
        <w:t xml:space="preserve"> W parku zainstalowana jest fontanna z wodotryskiem, w części wschodniej usytuowany jest staw obsadzony wierzbami błotnymi a całości dopełnia galeria rzeźb ciekawie wkomponowana w zieleń. Park jest ciekawym miejscem przyrodniczym.</w:t>
      </w:r>
    </w:p>
    <w:p w:rsidR="004C5373" w:rsidRPr="004C5373" w:rsidRDefault="004C5373" w:rsidP="004C5373">
      <w:pPr>
        <w:shd w:val="clear" w:color="auto" w:fill="FFFFFF"/>
        <w:spacing w:after="0" w:line="240" w:lineRule="auto"/>
        <w:jc w:val="both"/>
        <w:textAlignment w:val="baseline"/>
        <w:rPr>
          <w:rFonts w:ascii="Arial" w:eastAsia="Times New Roman" w:hAnsi="Arial" w:cs="Arial"/>
          <w:color w:val="000000" w:themeColor="text1"/>
          <w:lang w:eastAsia="pl-PL"/>
        </w:rPr>
      </w:pPr>
      <w:r w:rsidRPr="004C5373">
        <w:rPr>
          <w:rFonts w:ascii="Arial" w:eastAsia="Times New Roman" w:hAnsi="Arial" w:cs="Arial"/>
          <w:b/>
          <w:bCs/>
          <w:color w:val="000000" w:themeColor="text1"/>
          <w:bdr w:val="none" w:sz="0" w:space="0" w:color="auto" w:frame="1"/>
          <w:lang w:eastAsia="pl-PL"/>
        </w:rPr>
        <w:t>„Hrabski ogród”</w:t>
      </w:r>
      <w:r w:rsidRPr="004C5373">
        <w:rPr>
          <w:rFonts w:ascii="Arial" w:eastAsia="Times New Roman" w:hAnsi="Arial" w:cs="Arial"/>
          <w:color w:val="000000" w:themeColor="text1"/>
          <w:lang w:eastAsia="pl-PL"/>
        </w:rPr>
        <w:t>, bo tak go nazwano był w okresie międzywojennym w ograniczonym zakresie dostępny dla mieszkań</w:t>
      </w:r>
      <w:r w:rsidR="00DD39E0">
        <w:rPr>
          <w:rFonts w:ascii="Arial" w:eastAsia="Times New Roman" w:hAnsi="Arial" w:cs="Arial"/>
          <w:color w:val="000000" w:themeColor="text1"/>
          <w:lang w:eastAsia="pl-PL"/>
        </w:rPr>
        <w:t xml:space="preserve">ców miasta. </w:t>
      </w:r>
      <w:r w:rsidRPr="004C5373">
        <w:rPr>
          <w:rFonts w:ascii="Arial" w:eastAsia="Times New Roman" w:hAnsi="Arial" w:cs="Arial"/>
          <w:color w:val="000000" w:themeColor="text1"/>
          <w:lang w:eastAsia="pl-PL"/>
        </w:rPr>
        <w:t>Ostatnim właścicielem parku do roku 1939 był Jan Ostrowski.</w:t>
      </w:r>
      <w:r>
        <w:rPr>
          <w:rFonts w:ascii="Arial" w:eastAsia="Times New Roman" w:hAnsi="Arial" w:cs="Arial"/>
          <w:color w:val="000000" w:themeColor="text1"/>
          <w:lang w:eastAsia="pl-PL"/>
        </w:rPr>
        <w:t xml:space="preserve">. </w:t>
      </w:r>
      <w:r w:rsidRPr="004C5373">
        <w:rPr>
          <w:rFonts w:ascii="Arial" w:eastAsia="Times New Roman" w:hAnsi="Arial" w:cs="Arial"/>
          <w:color w:val="000000" w:themeColor="text1"/>
          <w:lang w:eastAsia="pl-PL"/>
        </w:rPr>
        <w:t xml:space="preserve">Po II wojnie światowej w środku hrabskiego ogrodu, kosztem części drzewostanu, urządzono boisko sportowe dla RKS „Lechia”. Klub trenował i grał tam do 1959 roku, kiedy to oddano do użytku wybudowany na nieużytkach stadion przy ulicy Nowowiejskiej. Właśnie wtedy zrodził się pomysł urządzenia – na zwolnionym przez sportowców terenie – parku miejskiego. I jak to </w:t>
      </w:r>
      <w:r w:rsidR="00DD39E0">
        <w:rPr>
          <w:rFonts w:ascii="Arial" w:eastAsia="Times New Roman" w:hAnsi="Arial" w:cs="Arial"/>
          <w:color w:val="000000" w:themeColor="text1"/>
          <w:lang w:eastAsia="pl-PL"/>
        </w:rPr>
        <w:br/>
      </w:r>
      <w:r w:rsidRPr="004C5373">
        <w:rPr>
          <w:rFonts w:ascii="Arial" w:eastAsia="Times New Roman" w:hAnsi="Arial" w:cs="Arial"/>
          <w:color w:val="000000" w:themeColor="text1"/>
          <w:lang w:eastAsia="pl-PL"/>
        </w:rPr>
        <w:t>w tamtych czasach się działo postawiono na czyny społeczne, czyli nieodpłatną pracę mieszkańców miasta.</w:t>
      </w:r>
    </w:p>
    <w:p w:rsidR="004C5373" w:rsidRPr="004C5373" w:rsidRDefault="00DD39E0" w:rsidP="004C5373">
      <w:pPr>
        <w:shd w:val="clear" w:color="auto" w:fill="FFFFFF"/>
        <w:spacing w:after="240" w:line="240" w:lineRule="auto"/>
        <w:jc w:val="both"/>
        <w:textAlignment w:val="baseline"/>
        <w:rPr>
          <w:rFonts w:ascii="Arial" w:eastAsia="Times New Roman" w:hAnsi="Arial" w:cs="Arial"/>
          <w:color w:val="000000" w:themeColor="text1"/>
          <w:lang w:eastAsia="pl-PL"/>
        </w:rPr>
      </w:pPr>
      <w:r>
        <w:rPr>
          <w:rFonts w:ascii="Arial" w:eastAsia="Times New Roman" w:hAnsi="Arial" w:cs="Arial"/>
          <w:color w:val="000000" w:themeColor="text1"/>
          <w:lang w:eastAsia="pl-PL"/>
        </w:rPr>
        <w:t>Roboty ruszyły w 1962 roku.</w:t>
      </w:r>
      <w:r w:rsidR="004C5373" w:rsidRPr="004C5373">
        <w:rPr>
          <w:rFonts w:ascii="Arial" w:eastAsia="Times New Roman" w:hAnsi="Arial" w:cs="Arial"/>
          <w:color w:val="000000" w:themeColor="text1"/>
          <w:lang w:eastAsia="pl-PL"/>
        </w:rPr>
        <w:t xml:space="preserve"> Wybudowano obiekt kawiarni (obecnie Miejski Ośrodek Kultury), toalety, muszlę widowiskową z amfiteatrem na około 3 tys. osób. Cech Rzemiosł Różnych ufundował podświetloną fontannę z niedźwiedziami. Polski Związek Wędkarski urządził staw. Park ogrodzono. Prowadziło do niego tylko jedno wejście od strony Skweru Powstańcó</w:t>
      </w:r>
      <w:r w:rsidR="004C5373">
        <w:rPr>
          <w:rFonts w:ascii="Arial" w:eastAsia="Times New Roman" w:hAnsi="Arial" w:cs="Arial"/>
          <w:color w:val="000000" w:themeColor="text1"/>
          <w:lang w:eastAsia="pl-PL"/>
        </w:rPr>
        <w:t>w (obok bramy starego browaru).</w:t>
      </w:r>
      <w:r w:rsidR="004C5373" w:rsidRPr="004C5373">
        <w:rPr>
          <w:rFonts w:ascii="Arial" w:eastAsia="Times New Roman" w:hAnsi="Arial" w:cs="Arial"/>
          <w:color w:val="000000" w:themeColor="text1"/>
          <w:lang w:eastAsia="pl-PL"/>
        </w:rPr>
        <w:t>Pierwsze nasadzenia w parku pochodzą z początku XIX wieku. Znajdują się one głównie w górnej i zachodniej części parku. Natomiast przekształcenie parku dolnego nad rzeką Wolbórką nastąpiło w 1964 roku.</w:t>
      </w:r>
    </w:p>
    <w:p w:rsidR="004C5373" w:rsidRPr="004C5373" w:rsidRDefault="004C5373" w:rsidP="004C5373">
      <w:pPr>
        <w:shd w:val="clear" w:color="auto" w:fill="FFFFFF"/>
        <w:spacing w:after="240" w:line="240" w:lineRule="auto"/>
        <w:jc w:val="both"/>
        <w:textAlignment w:val="baseline"/>
        <w:rPr>
          <w:rFonts w:ascii="Arial" w:eastAsia="Times New Roman" w:hAnsi="Arial" w:cs="Arial"/>
          <w:color w:val="000000" w:themeColor="text1"/>
          <w:lang w:eastAsia="pl-PL"/>
        </w:rPr>
      </w:pPr>
      <w:r w:rsidRPr="004C5373">
        <w:rPr>
          <w:rFonts w:ascii="Arial" w:eastAsia="Times New Roman" w:hAnsi="Arial" w:cs="Arial"/>
          <w:color w:val="000000" w:themeColor="text1"/>
          <w:lang w:eastAsia="pl-PL"/>
        </w:rPr>
        <w:t>Park położony jest na terenie zurbanizowanym, kiedyś silnie uprzemysłowionym. Ma ogromne znaczenie dla miasta tak pod względem estetycznym, jak i ekologicznym. Jest miejscem wypoczynku dla mieszkańców oraz łagodzi i niweluje – niekorzystne dla zdrowia ludzkiego – zanieczyszczenia</w:t>
      </w:r>
      <w:r w:rsidR="003E3BF0">
        <w:rPr>
          <w:rFonts w:ascii="Arial" w:eastAsia="Times New Roman" w:hAnsi="Arial" w:cs="Arial"/>
          <w:color w:val="000000" w:themeColor="text1"/>
          <w:lang w:eastAsia="pl-PL"/>
        </w:rPr>
        <w:t xml:space="preserve"> oraz występujące coraz częściej efekty zmian klimatycznych. Jest jednym z elementów założeń adaptacji miasta do zmian klimatycznych</w:t>
      </w:r>
      <w:r w:rsidRPr="004C5373">
        <w:rPr>
          <w:rFonts w:ascii="Arial" w:eastAsia="Times New Roman" w:hAnsi="Arial" w:cs="Arial"/>
          <w:color w:val="000000" w:themeColor="text1"/>
          <w:lang w:eastAsia="pl-PL"/>
        </w:rPr>
        <w:t>. Organizowane na terenie amfiteatr</w:t>
      </w:r>
      <w:r w:rsidR="003E3BF0">
        <w:rPr>
          <w:rFonts w:ascii="Arial" w:eastAsia="Times New Roman" w:hAnsi="Arial" w:cs="Arial"/>
          <w:color w:val="000000" w:themeColor="text1"/>
          <w:lang w:eastAsia="pl-PL"/>
        </w:rPr>
        <w:t>u imprezy kulturalne przyciągały</w:t>
      </w:r>
      <w:r w:rsidRPr="004C5373">
        <w:rPr>
          <w:rFonts w:ascii="Arial" w:eastAsia="Times New Roman" w:hAnsi="Arial" w:cs="Arial"/>
          <w:color w:val="000000" w:themeColor="text1"/>
          <w:lang w:eastAsia="pl-PL"/>
        </w:rPr>
        <w:t xml:space="preserve"> do parku rzesze mieszkańców </w:t>
      </w:r>
      <w:r w:rsidR="003E3BF0">
        <w:rPr>
          <w:rFonts w:ascii="Arial" w:eastAsia="Times New Roman" w:hAnsi="Arial" w:cs="Arial"/>
          <w:color w:val="000000" w:themeColor="text1"/>
          <w:lang w:eastAsia="pl-PL"/>
        </w:rPr>
        <w:t>miasta, którzy na nowo odkrywali</w:t>
      </w:r>
      <w:r w:rsidRPr="004C5373">
        <w:rPr>
          <w:rFonts w:ascii="Arial" w:eastAsia="Times New Roman" w:hAnsi="Arial" w:cs="Arial"/>
          <w:color w:val="000000" w:themeColor="text1"/>
          <w:lang w:eastAsia="pl-PL"/>
        </w:rPr>
        <w:t xml:space="preserve"> i dostrzegają jego urok i piękno. We wschodniej części parku, na murach starego browaru </w:t>
      </w:r>
      <w:r w:rsidR="003E3BF0">
        <w:rPr>
          <w:rFonts w:ascii="Arial" w:eastAsia="Times New Roman" w:hAnsi="Arial" w:cs="Arial"/>
          <w:color w:val="000000" w:themeColor="text1"/>
          <w:lang w:eastAsia="pl-PL"/>
        </w:rPr>
        <w:t xml:space="preserve">(obecnie znajduje się tam osiedle mieszkaniowe) </w:t>
      </w:r>
      <w:r w:rsidRPr="004C5373">
        <w:rPr>
          <w:rFonts w:ascii="Arial" w:eastAsia="Times New Roman" w:hAnsi="Arial" w:cs="Arial"/>
          <w:color w:val="000000" w:themeColor="text1"/>
          <w:lang w:eastAsia="pl-PL"/>
        </w:rPr>
        <w:t>znajduje się tablica upamiętniająca tragiczną śmierć dziesięciu mieszkańców Tomaszowa, członków ruchu oporu, rozstrzelanych przez hitlerowców w czasie II Wojny Światowej.</w:t>
      </w:r>
    </w:p>
    <w:p w:rsidR="004C5373" w:rsidRPr="004C5373" w:rsidRDefault="004C5373" w:rsidP="004C5373">
      <w:pPr>
        <w:shd w:val="clear" w:color="auto" w:fill="FFFFFF"/>
        <w:spacing w:after="240" w:line="240" w:lineRule="auto"/>
        <w:jc w:val="both"/>
        <w:textAlignment w:val="baseline"/>
        <w:rPr>
          <w:rFonts w:ascii="Arial" w:eastAsia="Times New Roman" w:hAnsi="Arial" w:cs="Arial"/>
          <w:color w:val="000000" w:themeColor="text1"/>
          <w:lang w:eastAsia="pl-PL"/>
        </w:rPr>
      </w:pPr>
      <w:r w:rsidRPr="004C5373">
        <w:rPr>
          <w:rFonts w:ascii="Arial" w:eastAsia="Times New Roman" w:hAnsi="Arial" w:cs="Arial"/>
          <w:color w:val="000000" w:themeColor="text1"/>
          <w:lang w:eastAsia="pl-PL"/>
        </w:rPr>
        <w:t xml:space="preserve">Dla najstarszych tomaszowian park „Solidarności” był, jest i będzie „hrabskim ogrodem”. Współczesny wygląd, zamysł parku, to udana kompozycja ocalałego </w:t>
      </w:r>
      <w:r w:rsidR="003E3BF0" w:rsidRPr="004C5373">
        <w:rPr>
          <w:rFonts w:ascii="Arial" w:eastAsia="Times New Roman" w:hAnsi="Arial" w:cs="Arial"/>
          <w:color w:val="000000" w:themeColor="text1"/>
          <w:lang w:eastAsia="pl-PL"/>
        </w:rPr>
        <w:t>starodrzewu</w:t>
      </w:r>
      <w:r w:rsidRPr="004C5373">
        <w:rPr>
          <w:rFonts w:ascii="Arial" w:eastAsia="Times New Roman" w:hAnsi="Arial" w:cs="Arial"/>
          <w:color w:val="000000" w:themeColor="text1"/>
          <w:lang w:eastAsia="pl-PL"/>
        </w:rPr>
        <w:t xml:space="preserve"> i nowych nasadzeń, które opracował mgr Kazimierz Chrabelski.</w:t>
      </w:r>
    </w:p>
    <w:p w:rsidR="004C5373" w:rsidRPr="004C5373" w:rsidRDefault="004C5373" w:rsidP="004C5373">
      <w:pPr>
        <w:shd w:val="clear" w:color="auto" w:fill="FFFFFF"/>
        <w:spacing w:after="240" w:line="240" w:lineRule="auto"/>
        <w:jc w:val="both"/>
        <w:textAlignment w:val="baseline"/>
        <w:rPr>
          <w:rFonts w:ascii="Arial" w:eastAsia="Times New Roman" w:hAnsi="Arial" w:cs="Arial"/>
          <w:color w:val="000000" w:themeColor="text1"/>
          <w:lang w:eastAsia="pl-PL"/>
        </w:rPr>
      </w:pPr>
      <w:r w:rsidRPr="004C5373">
        <w:rPr>
          <w:rFonts w:ascii="Arial" w:eastAsia="Times New Roman" w:hAnsi="Arial" w:cs="Arial"/>
          <w:color w:val="000000" w:themeColor="text1"/>
          <w:lang w:eastAsia="pl-PL"/>
        </w:rPr>
        <w:t xml:space="preserve">Park „Solidarności” został założony na terenie, gdzie dawniej był sad dworski. Część pałacowa ze starymi zabudowaniami gospodarczymi wraz z najstarszym drzewostanem, głównie dębów szypułkowych, znajduje się na wysokiej skarpie. Górna część parku z pałacem jest ogrodzona i stanowi jak gdyby odrębną całość. Jest użytkowana przez Muzeum. Pozostała część parku rozciąga się wzdłuż prawego brzegu Wolbórki. Północna granica parku biegnie wzdłuż rzeki </w:t>
      </w:r>
      <w:r w:rsidRPr="004C5373">
        <w:rPr>
          <w:rFonts w:ascii="Arial" w:eastAsia="Times New Roman" w:hAnsi="Arial" w:cs="Arial"/>
          <w:color w:val="000000" w:themeColor="text1"/>
          <w:lang w:eastAsia="pl-PL"/>
        </w:rPr>
        <w:lastRenderedPageBreak/>
        <w:t xml:space="preserve">Wolbórki, zachodnią granicę stanowi posesja należąca do wojska, ulica Warszawska i most na rzece Wolbórce. Południowa i południowo-wschodnia granica ulega ciągłym zmianom w związku z potrzebami miasta na rozbudowę. W górnej części parku, przed pałacem (wybudowanym w stylu romantycznym), rośnie ogromny </w:t>
      </w:r>
      <w:r w:rsidR="003E3BF0">
        <w:rPr>
          <w:rFonts w:ascii="Arial" w:eastAsia="Times New Roman" w:hAnsi="Arial" w:cs="Arial"/>
          <w:color w:val="000000" w:themeColor="text1"/>
          <w:lang w:eastAsia="pl-PL"/>
        </w:rPr>
        <w:t>dąb szypułkowy</w:t>
      </w:r>
      <w:r w:rsidRPr="004C5373">
        <w:rPr>
          <w:rFonts w:ascii="Arial" w:eastAsia="Times New Roman" w:hAnsi="Arial" w:cs="Arial"/>
          <w:color w:val="000000" w:themeColor="text1"/>
          <w:lang w:eastAsia="pl-PL"/>
        </w:rPr>
        <w:t xml:space="preserve">. Od strony zachodniej pałacu rośnie grupa </w:t>
      </w:r>
      <w:r w:rsidR="003E3BF0">
        <w:rPr>
          <w:rFonts w:ascii="Arial" w:eastAsia="Times New Roman" w:hAnsi="Arial" w:cs="Arial"/>
          <w:color w:val="000000" w:themeColor="text1"/>
          <w:lang w:eastAsia="pl-PL"/>
        </w:rPr>
        <w:t xml:space="preserve">okazałych </w:t>
      </w:r>
      <w:r w:rsidRPr="004C5373">
        <w:rPr>
          <w:rFonts w:ascii="Arial" w:eastAsia="Times New Roman" w:hAnsi="Arial" w:cs="Arial"/>
          <w:color w:val="000000" w:themeColor="text1"/>
          <w:lang w:eastAsia="pl-PL"/>
        </w:rPr>
        <w:t>dębó</w:t>
      </w:r>
      <w:r w:rsidR="003E3BF0">
        <w:rPr>
          <w:rFonts w:ascii="Arial" w:eastAsia="Times New Roman" w:hAnsi="Arial" w:cs="Arial"/>
          <w:color w:val="000000" w:themeColor="text1"/>
          <w:lang w:eastAsia="pl-PL"/>
        </w:rPr>
        <w:t>w szypułkowych</w:t>
      </w:r>
      <w:r w:rsidRPr="004C5373">
        <w:rPr>
          <w:rFonts w:ascii="Arial" w:eastAsia="Times New Roman" w:hAnsi="Arial" w:cs="Arial"/>
          <w:color w:val="000000" w:themeColor="text1"/>
          <w:lang w:eastAsia="pl-PL"/>
        </w:rPr>
        <w:t xml:space="preserve"> oraz kasztanowce zwyczajne wysadzane na planie podkowy. Dookoła stawu rosną wierzby białe, topole czarne oraz żywopłot z ligustru pospolitego i śnieguliczki białej. Na wschód od stawu znajdują się młode nasadzenia jesionów wyniosłych, topoli simona, klonów zwyczajnych, robinii akacjowej oraz krzewy tawuły wierzbolistnej i trójłatkowej, lilaka pospolitego, jałowców pospolitych. W środkowej części parku znajdują się duże płaszczyzny trawnikowe. Wysadzono tam dęby szypułkowe i czerwone, graby pospolite, jabłonie jagodowe, świerki srebrzyste, żywotniki zachodnie, jałowce pospolite i sawina oraz tawuły wierzbolistne, lilaki węgierskie, derenie białe, tamaryszki francuskie i ligustry pospolite w formie żywopłotu. W najstarszej, zachodniej części parku, u podnóża skarpy wysadzono rząd buków. Na zboczu skarpy rośnie najstarszy drzewostan: lipy drobnolistne, kasztanowce zwyczajne, olchy czarne, wiązy polne oraz na wprost pałacu sosny czarne i sosny wejmutki. Na uwagę zasługuje stary klon srebrzysty o obwodzie 350 cm, rosnący przy drodze. W parku </w:t>
      </w:r>
      <w:r w:rsidR="003E3BF0">
        <w:rPr>
          <w:rFonts w:ascii="Arial" w:eastAsia="Times New Roman" w:hAnsi="Arial" w:cs="Arial"/>
          <w:color w:val="000000" w:themeColor="text1"/>
          <w:lang w:eastAsia="pl-PL"/>
        </w:rPr>
        <w:t>występuje około 30 gatunków drzew w wieku</w:t>
      </w:r>
      <w:r w:rsidRPr="004C5373">
        <w:rPr>
          <w:rFonts w:ascii="Arial" w:eastAsia="Times New Roman" w:hAnsi="Arial" w:cs="Arial"/>
          <w:color w:val="000000" w:themeColor="text1"/>
          <w:lang w:eastAsia="pl-PL"/>
        </w:rPr>
        <w:t xml:space="preserve"> do 200 lat. Stan zdrowotny drzew jest dobry i bardzo dobry ze względu na sprzyjające warunki glebowe i dostateczną ilość wody.</w:t>
      </w:r>
    </w:p>
    <w:p w:rsidR="004C5373" w:rsidRDefault="004C5373" w:rsidP="001F1595">
      <w:pPr>
        <w:shd w:val="clear" w:color="auto" w:fill="FFFFFF"/>
        <w:spacing w:after="0" w:line="240" w:lineRule="auto"/>
        <w:jc w:val="both"/>
        <w:textAlignment w:val="baseline"/>
        <w:rPr>
          <w:rFonts w:ascii="Arial" w:eastAsia="Times New Roman" w:hAnsi="Arial" w:cs="Arial"/>
          <w:color w:val="000000" w:themeColor="text1"/>
          <w:lang w:eastAsia="pl-PL"/>
        </w:rPr>
      </w:pPr>
      <w:r w:rsidRPr="004C5373">
        <w:rPr>
          <w:rFonts w:ascii="Arial" w:eastAsia="Times New Roman" w:hAnsi="Arial" w:cs="Arial"/>
          <w:bCs/>
          <w:color w:val="000000" w:themeColor="text1"/>
          <w:bdr w:val="none" w:sz="0" w:space="0" w:color="auto" w:frame="1"/>
          <w:lang w:eastAsia="pl-PL"/>
        </w:rPr>
        <w:t>Na szczególną uwagę zasługują stare dęby szypułkowe</w:t>
      </w:r>
      <w:r w:rsidRPr="004C5373">
        <w:rPr>
          <w:rFonts w:ascii="Arial" w:eastAsia="Times New Roman" w:hAnsi="Arial" w:cs="Arial"/>
          <w:color w:val="000000" w:themeColor="text1"/>
          <w:lang w:eastAsia="pl-PL"/>
        </w:rPr>
        <w:t> – pomniki przyrody, wyst</w:t>
      </w:r>
      <w:r w:rsidR="003E3BF0">
        <w:rPr>
          <w:rFonts w:ascii="Arial" w:eastAsia="Times New Roman" w:hAnsi="Arial" w:cs="Arial"/>
          <w:color w:val="000000" w:themeColor="text1"/>
          <w:lang w:eastAsia="pl-PL"/>
        </w:rPr>
        <w:t>ępujące w górnej części parku</w:t>
      </w:r>
      <w:r w:rsidRPr="004C5373">
        <w:rPr>
          <w:rFonts w:ascii="Arial" w:eastAsia="Times New Roman" w:hAnsi="Arial" w:cs="Arial"/>
          <w:color w:val="000000" w:themeColor="text1"/>
          <w:lang w:eastAsia="pl-PL"/>
        </w:rPr>
        <w:t xml:space="preserve">. W parku dolnym przeważają topole </w:t>
      </w:r>
      <w:r>
        <w:rPr>
          <w:rFonts w:ascii="Arial" w:eastAsia="Times New Roman" w:hAnsi="Arial" w:cs="Arial"/>
          <w:color w:val="000000" w:themeColor="text1"/>
          <w:lang w:eastAsia="pl-PL"/>
        </w:rPr>
        <w:t>i wiązy polne oraz olchy szare. W parku występuje:</w:t>
      </w:r>
      <w:r w:rsidR="001F1595">
        <w:rPr>
          <w:rFonts w:ascii="Arial" w:eastAsia="Times New Roman" w:hAnsi="Arial" w:cs="Arial"/>
          <w:color w:val="000000" w:themeColor="text1"/>
          <w:lang w:eastAsia="pl-PL"/>
        </w:rPr>
        <w:t xml:space="preserve"> Topola czarna, Wierzba biała,</w:t>
      </w:r>
      <w:r w:rsidRPr="004C5373">
        <w:rPr>
          <w:rFonts w:ascii="Arial" w:eastAsia="Times New Roman" w:hAnsi="Arial" w:cs="Arial"/>
          <w:color w:val="000000" w:themeColor="text1"/>
          <w:lang w:eastAsia="pl-PL"/>
        </w:rPr>
        <w:t xml:space="preserve"> Dąb czer</w:t>
      </w:r>
      <w:r w:rsidR="001F1595">
        <w:rPr>
          <w:rFonts w:ascii="Arial" w:eastAsia="Times New Roman" w:hAnsi="Arial" w:cs="Arial"/>
          <w:color w:val="000000" w:themeColor="text1"/>
          <w:lang w:eastAsia="pl-PL"/>
        </w:rPr>
        <w:t xml:space="preserve">wony, Dąb szypułkowy, Kasztanowiec zwyczajny, Klon srebrzysty, </w:t>
      </w:r>
      <w:r w:rsidRPr="004C5373">
        <w:rPr>
          <w:rFonts w:ascii="Arial" w:eastAsia="Times New Roman" w:hAnsi="Arial" w:cs="Arial"/>
          <w:color w:val="000000" w:themeColor="text1"/>
          <w:lang w:eastAsia="pl-PL"/>
        </w:rPr>
        <w:t xml:space="preserve">Grab pospolity </w:t>
      </w:r>
    </w:p>
    <w:p w:rsidR="001F1595" w:rsidRPr="004C5373" w:rsidRDefault="001F1595" w:rsidP="001F1595">
      <w:pPr>
        <w:shd w:val="clear" w:color="auto" w:fill="FFFFFF"/>
        <w:spacing w:after="0" w:line="240" w:lineRule="auto"/>
        <w:jc w:val="both"/>
        <w:textAlignment w:val="baseline"/>
        <w:rPr>
          <w:rFonts w:ascii="Arial" w:eastAsia="Times New Roman" w:hAnsi="Arial" w:cs="Arial"/>
          <w:color w:val="000000" w:themeColor="text1"/>
          <w:lang w:eastAsia="pl-PL"/>
        </w:rPr>
      </w:pPr>
    </w:p>
    <w:p w:rsidR="001F1595" w:rsidRDefault="001F1595" w:rsidP="004C5373">
      <w:pPr>
        <w:shd w:val="clear" w:color="auto" w:fill="FFFFFF"/>
        <w:spacing w:after="240" w:line="240" w:lineRule="auto"/>
        <w:jc w:val="both"/>
        <w:textAlignment w:val="baseline"/>
        <w:rPr>
          <w:rFonts w:ascii="Arial" w:eastAsia="Times New Roman" w:hAnsi="Arial" w:cs="Arial"/>
          <w:color w:val="000000" w:themeColor="text1"/>
          <w:lang w:eastAsia="pl-PL"/>
        </w:rPr>
      </w:pPr>
      <w:r>
        <w:rPr>
          <w:rFonts w:ascii="Arial" w:eastAsia="Times New Roman" w:hAnsi="Arial" w:cs="Arial"/>
          <w:color w:val="000000" w:themeColor="text1"/>
          <w:lang w:eastAsia="pl-PL"/>
        </w:rPr>
        <w:t>Zabytkowy</w:t>
      </w:r>
      <w:r w:rsidR="004C5373" w:rsidRPr="004C5373">
        <w:rPr>
          <w:rFonts w:ascii="Arial" w:eastAsia="Times New Roman" w:hAnsi="Arial" w:cs="Arial"/>
          <w:color w:val="000000" w:themeColor="text1"/>
          <w:lang w:eastAsia="pl-PL"/>
        </w:rPr>
        <w:t xml:space="preserve"> pałacu A. Ostrowskiego</w:t>
      </w:r>
      <w:r>
        <w:rPr>
          <w:rFonts w:ascii="Arial" w:eastAsia="Times New Roman" w:hAnsi="Arial" w:cs="Arial"/>
          <w:color w:val="000000" w:themeColor="text1"/>
          <w:lang w:eastAsia="pl-PL"/>
        </w:rPr>
        <w:t xml:space="preserve"> znajduje się w bezpośrednim sąsiedztwie parku na wzniesieniu, górując nad parkiem. O</w:t>
      </w:r>
      <w:r w:rsidR="004C5373" w:rsidRPr="004C5373">
        <w:rPr>
          <w:rFonts w:ascii="Arial" w:eastAsia="Times New Roman" w:hAnsi="Arial" w:cs="Arial"/>
          <w:color w:val="000000" w:themeColor="text1"/>
          <w:lang w:eastAsia="pl-PL"/>
        </w:rPr>
        <w:t xml:space="preserve">becnie mieści się </w:t>
      </w:r>
      <w:r>
        <w:rPr>
          <w:rFonts w:ascii="Arial" w:eastAsia="Times New Roman" w:hAnsi="Arial" w:cs="Arial"/>
          <w:color w:val="000000" w:themeColor="text1"/>
          <w:lang w:eastAsia="pl-PL"/>
        </w:rPr>
        <w:t xml:space="preserve">tam </w:t>
      </w:r>
      <w:r w:rsidR="004C5373" w:rsidRPr="004C5373">
        <w:rPr>
          <w:rFonts w:ascii="Arial" w:eastAsia="Times New Roman" w:hAnsi="Arial" w:cs="Arial"/>
          <w:color w:val="000000" w:themeColor="text1"/>
          <w:lang w:eastAsia="pl-PL"/>
        </w:rPr>
        <w:t xml:space="preserve">siedziba muzeum miasta Tomaszowa. Dawny pałac Antoniego Ostrowskiego powstał w latach 1811-1812 i był letnią rezydencją rodziny. Początkowo składał się z wieży i parterowej przybudówki, wzniesiony przez „magistra kunsztu murarskiego” Jana Komorowskiego z Ujazdu. Pałac sukcesywnie rozbudowywano, utrzymując całość budowli w stylu romantycznym. Od strony południowej, gdzie mieści się fasada, do pałacu prowadzi klasycystyczna brama wjazdowa. Pałac jest parterowy, częściowo podpiwniczony, z piętrową częścią środkową i tarasem wspartym na dwóch kolumnach. Ostatnim właścicielem pałacu do 1939 roku był Jan Ostrowski. </w:t>
      </w:r>
    </w:p>
    <w:p w:rsidR="004C5373" w:rsidRPr="004C5373" w:rsidRDefault="001F1595" w:rsidP="004C5373">
      <w:pPr>
        <w:shd w:val="clear" w:color="auto" w:fill="FFFFFF"/>
        <w:spacing w:after="240" w:line="240" w:lineRule="auto"/>
        <w:jc w:val="both"/>
        <w:textAlignment w:val="baseline"/>
        <w:rPr>
          <w:rFonts w:ascii="Arial" w:eastAsia="Times New Roman" w:hAnsi="Arial" w:cs="Arial"/>
          <w:color w:val="000000" w:themeColor="text1"/>
          <w:lang w:eastAsia="pl-PL"/>
        </w:rPr>
      </w:pPr>
      <w:r>
        <w:rPr>
          <w:rFonts w:ascii="Arial" w:eastAsia="Times New Roman" w:hAnsi="Arial" w:cs="Arial"/>
          <w:color w:val="000000" w:themeColor="text1"/>
          <w:lang w:eastAsia="pl-PL"/>
        </w:rPr>
        <w:t xml:space="preserve">Amfiteatr, po wyburzeniu pozostały budynki zaplecza, </w:t>
      </w:r>
      <w:r w:rsidR="004C5373" w:rsidRPr="004C5373">
        <w:rPr>
          <w:rFonts w:ascii="Arial" w:eastAsia="Times New Roman" w:hAnsi="Arial" w:cs="Arial"/>
          <w:color w:val="000000" w:themeColor="text1"/>
          <w:lang w:eastAsia="pl-PL"/>
        </w:rPr>
        <w:t>obsadzono żywopłotem z ligustru oraz szpalerem z topoli czarnej. W dalszej części nasadzono klony g</w:t>
      </w:r>
      <w:r>
        <w:rPr>
          <w:rFonts w:ascii="Arial" w:eastAsia="Times New Roman" w:hAnsi="Arial" w:cs="Arial"/>
          <w:color w:val="000000" w:themeColor="text1"/>
          <w:lang w:eastAsia="pl-PL"/>
        </w:rPr>
        <w:t>innala. Amfiteatr mieści</w:t>
      </w:r>
      <w:r w:rsidR="00BE14FD">
        <w:rPr>
          <w:rFonts w:ascii="Arial" w:eastAsia="Times New Roman" w:hAnsi="Arial" w:cs="Arial"/>
          <w:color w:val="000000" w:themeColor="text1"/>
          <w:lang w:eastAsia="pl-PL"/>
        </w:rPr>
        <w:t>ł</w:t>
      </w:r>
      <w:r>
        <w:rPr>
          <w:rFonts w:ascii="Arial" w:eastAsia="Times New Roman" w:hAnsi="Arial" w:cs="Arial"/>
          <w:color w:val="000000" w:themeColor="text1"/>
          <w:lang w:eastAsia="pl-PL"/>
        </w:rPr>
        <w:t xml:space="preserve"> około 25</w:t>
      </w:r>
      <w:r w:rsidR="004C5373" w:rsidRPr="004C5373">
        <w:rPr>
          <w:rFonts w:ascii="Arial" w:eastAsia="Times New Roman" w:hAnsi="Arial" w:cs="Arial"/>
          <w:color w:val="000000" w:themeColor="text1"/>
          <w:lang w:eastAsia="pl-PL"/>
        </w:rPr>
        <w:t>00</w:t>
      </w:r>
      <w:r>
        <w:rPr>
          <w:rFonts w:ascii="Arial" w:eastAsia="Times New Roman" w:hAnsi="Arial" w:cs="Arial"/>
          <w:color w:val="000000" w:themeColor="text1"/>
          <w:lang w:eastAsia="pl-PL"/>
        </w:rPr>
        <w:t xml:space="preserve"> - </w:t>
      </w:r>
      <w:r w:rsidR="00BE14FD">
        <w:rPr>
          <w:rFonts w:ascii="Arial" w:eastAsia="Times New Roman" w:hAnsi="Arial" w:cs="Arial"/>
          <w:color w:val="000000" w:themeColor="text1"/>
          <w:lang w:eastAsia="pl-PL"/>
        </w:rPr>
        <w:t>3000</w:t>
      </w:r>
      <w:r w:rsidR="004C5373" w:rsidRPr="004C5373">
        <w:rPr>
          <w:rFonts w:ascii="Arial" w:eastAsia="Times New Roman" w:hAnsi="Arial" w:cs="Arial"/>
          <w:color w:val="000000" w:themeColor="text1"/>
          <w:lang w:eastAsia="pl-PL"/>
        </w:rPr>
        <w:t xml:space="preserve"> miejsc siedzących.</w:t>
      </w:r>
      <w:r w:rsidR="00BE14FD">
        <w:rPr>
          <w:rFonts w:ascii="Arial" w:eastAsia="Times New Roman" w:hAnsi="Arial" w:cs="Arial"/>
          <w:color w:val="000000" w:themeColor="text1"/>
          <w:lang w:eastAsia="pl-PL"/>
        </w:rPr>
        <w:t xml:space="preserve"> Obecnie siedziska są zdemontowane</w:t>
      </w:r>
    </w:p>
    <w:p w:rsidR="00BE14FD" w:rsidRDefault="00BE14FD" w:rsidP="004C5373">
      <w:pPr>
        <w:shd w:val="clear" w:color="auto" w:fill="FFFFFF"/>
        <w:spacing w:after="240" w:line="240" w:lineRule="auto"/>
        <w:jc w:val="both"/>
        <w:textAlignment w:val="baseline"/>
        <w:rPr>
          <w:rFonts w:ascii="Arial" w:eastAsia="Times New Roman" w:hAnsi="Arial" w:cs="Arial"/>
          <w:color w:val="000000" w:themeColor="text1"/>
          <w:lang w:eastAsia="pl-PL"/>
        </w:rPr>
      </w:pPr>
      <w:r>
        <w:rPr>
          <w:rFonts w:ascii="Arial" w:eastAsia="Times New Roman" w:hAnsi="Arial" w:cs="Arial"/>
          <w:color w:val="000000" w:themeColor="text1"/>
          <w:lang w:eastAsia="pl-PL"/>
        </w:rPr>
        <w:t xml:space="preserve">Staw posiada </w:t>
      </w:r>
      <w:r w:rsidR="004C5373" w:rsidRPr="004C5373">
        <w:rPr>
          <w:rFonts w:ascii="Arial" w:eastAsia="Times New Roman" w:hAnsi="Arial" w:cs="Arial"/>
          <w:color w:val="000000" w:themeColor="text1"/>
          <w:lang w:eastAsia="pl-PL"/>
        </w:rPr>
        <w:t>po</w:t>
      </w:r>
      <w:r>
        <w:rPr>
          <w:rFonts w:ascii="Arial" w:eastAsia="Times New Roman" w:hAnsi="Arial" w:cs="Arial"/>
          <w:color w:val="000000" w:themeColor="text1"/>
          <w:lang w:eastAsia="pl-PL"/>
        </w:rPr>
        <w:t>wierzchnię 0,35 ha</w:t>
      </w:r>
      <w:r w:rsidR="004C5373" w:rsidRPr="004C5373">
        <w:rPr>
          <w:rFonts w:ascii="Arial" w:eastAsia="Times New Roman" w:hAnsi="Arial" w:cs="Arial"/>
          <w:color w:val="000000" w:themeColor="text1"/>
          <w:lang w:eastAsia="pl-PL"/>
        </w:rPr>
        <w:t>. Dookoła stawu biegnie żywopłot z ligustru pospolitego, a nad samym brzegiem rosną rozłożyste wierzby białe. Za wierzbami, od wschodniej strony stawu wysadzono rząd topoli czarnej. Jeszcze dalej na wschód, między stawem a murami kortów znajdują się młode nasadzenia jesionów wyniosłych, topoli simona, klonów zwyczajnych oraz robinii akacjowej i krzewów tawuły wierzbolistnej, trójłatkowej, lilaka pospolitego i jałowców pospolitych. Ta część parku oddzielona jest od stadionu sportowego, rzędem topoli. Staw jest atrakcyjnym elementem wzbogacającym krajobraz. Jest wodopojem dla ptaków i drobnych ssaków, miejscem rozrodu płazów, owadów, podnosi wilgo</w:t>
      </w:r>
      <w:r>
        <w:rPr>
          <w:rFonts w:ascii="Arial" w:eastAsia="Times New Roman" w:hAnsi="Arial" w:cs="Arial"/>
          <w:color w:val="000000" w:themeColor="text1"/>
          <w:lang w:eastAsia="pl-PL"/>
        </w:rPr>
        <w:t xml:space="preserve">tność powietrza. </w:t>
      </w:r>
      <w:r w:rsidR="004C5373" w:rsidRPr="004C5373">
        <w:rPr>
          <w:rFonts w:ascii="Arial" w:eastAsia="Times New Roman" w:hAnsi="Arial" w:cs="Arial"/>
          <w:color w:val="000000" w:themeColor="text1"/>
          <w:lang w:eastAsia="pl-PL"/>
        </w:rPr>
        <w:t xml:space="preserve">Kiedyś na środku stawu zamieszkiwała łabędzia rodzina. Z biegiem czasu łabędzie opuściły staw, gdyż były zbyt nękane przez ludzi. W pierwotnym zamyśle staw miał być zarybiany. </w:t>
      </w:r>
    </w:p>
    <w:p w:rsidR="004C5373" w:rsidRPr="004C5373" w:rsidRDefault="00BE14FD" w:rsidP="004C5373">
      <w:pPr>
        <w:shd w:val="clear" w:color="auto" w:fill="FFFFFF"/>
        <w:spacing w:after="240" w:line="240" w:lineRule="auto"/>
        <w:jc w:val="both"/>
        <w:textAlignment w:val="baseline"/>
        <w:rPr>
          <w:rFonts w:ascii="Arial" w:eastAsia="Times New Roman" w:hAnsi="Arial" w:cs="Arial"/>
          <w:color w:val="000000" w:themeColor="text1"/>
          <w:lang w:eastAsia="pl-PL"/>
        </w:rPr>
      </w:pPr>
      <w:r>
        <w:rPr>
          <w:rFonts w:ascii="Arial" w:eastAsia="Times New Roman" w:hAnsi="Arial" w:cs="Arial"/>
          <w:color w:val="000000" w:themeColor="text1"/>
          <w:lang w:eastAsia="pl-PL"/>
        </w:rPr>
        <w:t>W centralnej części parku zlokalizowana jest fontanna, znajdująca</w:t>
      </w:r>
      <w:r w:rsidR="004C5373" w:rsidRPr="004C5373">
        <w:rPr>
          <w:rFonts w:ascii="Arial" w:eastAsia="Times New Roman" w:hAnsi="Arial" w:cs="Arial"/>
          <w:color w:val="000000" w:themeColor="text1"/>
          <w:lang w:eastAsia="pl-PL"/>
        </w:rPr>
        <w:t xml:space="preserve"> się w osi głównej wejścia i tarasowych schodów. Przy fontannie rosną dęby szypułkowe, dęby czerwone, graby pospolite, jabłonie jagodowe, świerki srebrzyste, żywotniki zachodnie, jałowce pospolite, lilaki węgierskie, derenie białe, tawuły wierzbolistne, tamaryszki francuskie oraz ligustry </w:t>
      </w:r>
      <w:r>
        <w:rPr>
          <w:rFonts w:ascii="Arial" w:eastAsia="Times New Roman" w:hAnsi="Arial" w:cs="Arial"/>
          <w:color w:val="000000" w:themeColor="text1"/>
          <w:lang w:eastAsia="pl-PL"/>
        </w:rPr>
        <w:t>pospolite w żywopłocie</w:t>
      </w:r>
      <w:r w:rsidR="004C5373" w:rsidRPr="004C5373">
        <w:rPr>
          <w:rFonts w:ascii="Arial" w:eastAsia="Times New Roman" w:hAnsi="Arial" w:cs="Arial"/>
          <w:color w:val="000000" w:themeColor="text1"/>
          <w:lang w:eastAsia="pl-PL"/>
        </w:rPr>
        <w:t>. Fontanna otoczona jest dużymi płaszczyznami trawników, na których wysadzono młode drzewa liściaste i iglaste. W zielone dywany trawników pięknie wkomponowano galerię rzeźb, które wykonali studenci ASP.</w:t>
      </w:r>
      <w:r>
        <w:rPr>
          <w:rFonts w:ascii="Arial" w:eastAsia="Times New Roman" w:hAnsi="Arial" w:cs="Arial"/>
          <w:color w:val="000000" w:themeColor="text1"/>
          <w:lang w:eastAsia="pl-PL"/>
        </w:rPr>
        <w:t xml:space="preserve"> </w:t>
      </w:r>
      <w:r w:rsidR="004C5373" w:rsidRPr="004C5373">
        <w:rPr>
          <w:rFonts w:ascii="Arial" w:eastAsia="Times New Roman" w:hAnsi="Arial" w:cs="Arial"/>
          <w:color w:val="000000" w:themeColor="text1"/>
          <w:lang w:eastAsia="pl-PL"/>
        </w:rPr>
        <w:t xml:space="preserve">Kierując się alejką biegnącą w kierunku skarpy, wchodzimy w najstarszą część parku. Droga biegnie u podnóża łagodnego pagórka, na której wysadzono rząd młodych buków. Następnie wchodzimy w masyw najstarszego drzewostanu na zboczu. Rosną tu lipy </w:t>
      </w:r>
      <w:r w:rsidR="004C5373" w:rsidRPr="004C5373">
        <w:rPr>
          <w:rFonts w:ascii="Arial" w:eastAsia="Times New Roman" w:hAnsi="Arial" w:cs="Arial"/>
          <w:color w:val="000000" w:themeColor="text1"/>
          <w:lang w:eastAsia="pl-PL"/>
        </w:rPr>
        <w:lastRenderedPageBreak/>
        <w:t>drobnolistne, kasztanowce zwyczajne, klony zwyczajne, graby pospolite, brzozy brodawkowate, olchy czarne, wiązy polne oraz na wprost pałacu sosny czarne i sosny wejmutki.</w:t>
      </w:r>
    </w:p>
    <w:p w:rsidR="007B13C2" w:rsidRPr="007B13C2" w:rsidRDefault="007B13C2" w:rsidP="00707C02">
      <w:pPr>
        <w:jc w:val="both"/>
        <w:rPr>
          <w:rFonts w:ascii="Arial" w:hAnsi="Arial" w:cs="Arial"/>
        </w:rPr>
      </w:pPr>
      <w:bookmarkStart w:id="0" w:name="_GoBack"/>
      <w:bookmarkEnd w:id="0"/>
      <w:r w:rsidRPr="007B13C2">
        <w:rPr>
          <w:rFonts w:ascii="Arial" w:hAnsi="Arial" w:cs="Arial"/>
        </w:rPr>
        <w:t>OBOWIĄZKI WYKONAWCY</w:t>
      </w:r>
    </w:p>
    <w:p w:rsidR="00707C02" w:rsidRPr="00B25119" w:rsidRDefault="00707C02" w:rsidP="00707C02">
      <w:pPr>
        <w:pStyle w:val="Normalny1"/>
        <w:numPr>
          <w:ilvl w:val="0"/>
          <w:numId w:val="1"/>
        </w:numPr>
        <w:tabs>
          <w:tab w:val="clear" w:pos="4860"/>
          <w:tab w:val="num" w:pos="426"/>
        </w:tabs>
        <w:autoSpaceDE w:val="0"/>
        <w:ind w:left="426" w:hanging="426"/>
        <w:jc w:val="both"/>
        <w:rPr>
          <w:rFonts w:ascii="Arial" w:eastAsia="Bookman Old Style" w:hAnsi="Arial" w:cs="Arial"/>
          <w:bCs/>
          <w:iCs/>
          <w:sz w:val="22"/>
          <w:szCs w:val="22"/>
        </w:rPr>
      </w:pPr>
      <w:r w:rsidRPr="00B25119">
        <w:rPr>
          <w:rFonts w:ascii="Arial" w:eastAsia="Bookman Old Style" w:hAnsi="Arial" w:cs="Arial"/>
          <w:sz w:val="22"/>
          <w:szCs w:val="22"/>
        </w:rPr>
        <w:t>Wykonawca zobowiązuje się do wykonania i przekazania zamawiającemu przedmiotu umowy, wykonanego zgodnie z zaleceniami zamawiającego, opisem przedmiotu zamówienia, obowiązującymi normami i przepisami, zasadami współczesnej wiedzy technicznej oraz przy dołożeniu należytej staranności.</w:t>
      </w:r>
    </w:p>
    <w:p w:rsidR="00707C02" w:rsidRPr="00B25119" w:rsidRDefault="00707C02" w:rsidP="00707C02">
      <w:pPr>
        <w:pStyle w:val="Normalny1"/>
        <w:numPr>
          <w:ilvl w:val="0"/>
          <w:numId w:val="1"/>
        </w:numPr>
        <w:tabs>
          <w:tab w:val="clear" w:pos="4860"/>
          <w:tab w:val="num" w:pos="426"/>
        </w:tabs>
        <w:autoSpaceDE w:val="0"/>
        <w:ind w:left="426" w:hanging="426"/>
        <w:jc w:val="both"/>
        <w:rPr>
          <w:rFonts w:ascii="Arial" w:eastAsia="Bookman Old Style" w:hAnsi="Arial" w:cs="Arial"/>
          <w:bCs/>
          <w:iCs/>
          <w:sz w:val="22"/>
          <w:szCs w:val="22"/>
        </w:rPr>
      </w:pPr>
      <w:r w:rsidRPr="00B25119">
        <w:rPr>
          <w:rFonts w:ascii="Arial" w:eastAsia="Bookman Old Style" w:hAnsi="Arial" w:cs="Arial"/>
          <w:bCs/>
          <w:iCs/>
          <w:sz w:val="22"/>
          <w:szCs w:val="22"/>
        </w:rPr>
        <w:t>Wykonawca zobowiązany jest do przygotowania dokum</w:t>
      </w:r>
      <w:r w:rsidR="00EE06F2">
        <w:rPr>
          <w:rFonts w:ascii="Arial" w:eastAsia="Bookman Old Style" w:hAnsi="Arial" w:cs="Arial"/>
          <w:bCs/>
          <w:iCs/>
          <w:sz w:val="22"/>
          <w:szCs w:val="22"/>
        </w:rPr>
        <w:t xml:space="preserve">entacji projektowej </w:t>
      </w:r>
      <w:r w:rsidRPr="00B25119">
        <w:rPr>
          <w:rFonts w:ascii="Arial" w:eastAsia="Bookman Old Style" w:hAnsi="Arial" w:cs="Arial"/>
          <w:bCs/>
          <w:iCs/>
          <w:sz w:val="22"/>
          <w:szCs w:val="22"/>
        </w:rPr>
        <w:t>w sposób, który  nie będzie utrudniał uczciwej konkurencji.</w:t>
      </w:r>
    </w:p>
    <w:p w:rsidR="00707C02" w:rsidRPr="00B25119" w:rsidRDefault="00707C02" w:rsidP="00707C02">
      <w:pPr>
        <w:pStyle w:val="Normalny1"/>
        <w:numPr>
          <w:ilvl w:val="0"/>
          <w:numId w:val="1"/>
        </w:numPr>
        <w:tabs>
          <w:tab w:val="clear" w:pos="4860"/>
          <w:tab w:val="num" w:pos="426"/>
        </w:tabs>
        <w:autoSpaceDE w:val="0"/>
        <w:ind w:left="426" w:hanging="426"/>
        <w:jc w:val="both"/>
        <w:rPr>
          <w:rFonts w:ascii="Arial" w:eastAsia="Bookman Old Style" w:hAnsi="Arial" w:cs="Arial"/>
          <w:bCs/>
          <w:iCs/>
          <w:strike/>
          <w:sz w:val="22"/>
          <w:szCs w:val="22"/>
        </w:rPr>
      </w:pPr>
      <w:r w:rsidRPr="00B05C77">
        <w:rPr>
          <w:rFonts w:ascii="Arial" w:hAnsi="Arial" w:cs="Arial"/>
          <w:sz w:val="22"/>
          <w:szCs w:val="22"/>
        </w:rPr>
        <w:t>Wykonawca zobowiązany jest do opisywania przedmiotu zamówienia zgodnie z przepisami</w:t>
      </w:r>
      <w:r w:rsidRPr="00B25119">
        <w:rPr>
          <w:rFonts w:ascii="Arial" w:hAnsi="Arial" w:cs="Arial"/>
          <w:sz w:val="22"/>
          <w:szCs w:val="22"/>
        </w:rPr>
        <w:t xml:space="preserve"> prawa, w tym w szczególności zgodnie z ustawą Prawo zamówień publicznych, tzn. przedmiot zamówienia (urządzenia, materiały, rozwiązania techniczne itp.) należy opisać w sposób wyczerpujący  i jednoznaczny, jedynie za pomocą parametrów i cech technicznych bez używania i wskazywania znaków towarowych, patentów lub pochodzenia, źródła lub szczególnego procesu, który charakteryzuje produkty lub usługi dostarczane przez konkretnego wykonawcę, jeżeli mogłoby to doprowadzić do uprzywilejowania lub wyeliminowania niektórych wykonawców lub produktów, chyba, że jest to uzasadnione specyfiką przedmiotu zamówienia i wykonawca nie może opisać przedmiotu zamówienia za pomocą dokładnych określeń, a jednocześnie wskazaniu takiemu towarzyszą wyrazy „lub równoważny”  i określone są warunki równoważności zgodnie z poniższym.</w:t>
      </w:r>
    </w:p>
    <w:p w:rsidR="00707C02" w:rsidRPr="00B25119" w:rsidRDefault="00707C02" w:rsidP="00707C02">
      <w:pPr>
        <w:pStyle w:val="Normalny1"/>
        <w:numPr>
          <w:ilvl w:val="0"/>
          <w:numId w:val="1"/>
        </w:numPr>
        <w:tabs>
          <w:tab w:val="clear" w:pos="4860"/>
          <w:tab w:val="num" w:pos="426"/>
        </w:tabs>
        <w:autoSpaceDE w:val="0"/>
        <w:ind w:left="426" w:hanging="426"/>
        <w:jc w:val="both"/>
        <w:rPr>
          <w:rFonts w:ascii="Arial" w:eastAsia="Bookman Old Style" w:hAnsi="Arial" w:cs="Arial"/>
          <w:bCs/>
          <w:iCs/>
          <w:sz w:val="22"/>
          <w:szCs w:val="22"/>
        </w:rPr>
      </w:pPr>
      <w:r w:rsidRPr="00B25119">
        <w:rPr>
          <w:rFonts w:ascii="Arial" w:hAnsi="Arial" w:cs="Arial"/>
          <w:sz w:val="22"/>
          <w:szCs w:val="22"/>
        </w:rPr>
        <w:t>Wykonawca określa warunki równoważności w dokumentacji projektowej (projekt budowlany, projekty techniczne kosztorys/ przedmiar) oraz w specyfikacji technicznej wykonania i odbioru robót b</w:t>
      </w:r>
      <w:r w:rsidR="00B25119" w:rsidRPr="00B25119">
        <w:rPr>
          <w:rFonts w:ascii="Arial" w:hAnsi="Arial" w:cs="Arial"/>
          <w:sz w:val="22"/>
          <w:szCs w:val="22"/>
        </w:rPr>
        <w:t>udowlanych, tj. opisuje/ podaje</w:t>
      </w:r>
      <w:r w:rsidRPr="00B25119">
        <w:rPr>
          <w:rFonts w:ascii="Arial" w:hAnsi="Arial" w:cs="Arial"/>
          <w:sz w:val="22"/>
          <w:szCs w:val="22"/>
        </w:rPr>
        <w:t xml:space="preserve"> je dla wszystkich lub niektórych/wybranych (tj. najważniejszych z punktu widzenia celu zamówienia i oczekiwań zamawiającego, co do oczekiwanego efektu) parametrów produktu (albo </w:t>
      </w:r>
      <w:r w:rsidRPr="00B25119">
        <w:rPr>
          <w:rFonts w:ascii="Arial" w:hAnsi="Arial" w:cs="Arial"/>
          <w:sz w:val="22"/>
          <w:szCs w:val="22"/>
          <w:lang w:eastAsia="pl-PL"/>
        </w:rPr>
        <w:t>norm, europejskich ocen technicznych, aprobat, specyfikacji technicznych i systemów referencji technicznych, o których mowa w ust. 5 pkt 2 i ust. 6</w:t>
      </w:r>
      <w:r w:rsidRPr="00B25119">
        <w:rPr>
          <w:rFonts w:ascii="Arial" w:hAnsi="Arial" w:cs="Arial"/>
          <w:sz w:val="22"/>
          <w:szCs w:val="22"/>
        </w:rPr>
        <w:t>), których dotyczą.</w:t>
      </w:r>
    </w:p>
    <w:p w:rsidR="00707C02" w:rsidRPr="00B25119" w:rsidRDefault="00707C02" w:rsidP="00707C02">
      <w:pPr>
        <w:pStyle w:val="Normalny1"/>
        <w:numPr>
          <w:ilvl w:val="0"/>
          <w:numId w:val="1"/>
        </w:numPr>
        <w:tabs>
          <w:tab w:val="clear" w:pos="4860"/>
          <w:tab w:val="num" w:pos="426"/>
        </w:tabs>
        <w:autoSpaceDE w:val="0"/>
        <w:ind w:left="426" w:hanging="426"/>
        <w:jc w:val="both"/>
        <w:rPr>
          <w:rFonts w:ascii="Arial" w:eastAsia="Bookman Old Style" w:hAnsi="Arial" w:cs="Arial"/>
          <w:bCs/>
          <w:iCs/>
          <w:sz w:val="22"/>
          <w:szCs w:val="22"/>
        </w:rPr>
      </w:pPr>
      <w:r w:rsidRPr="00B25119">
        <w:rPr>
          <w:rFonts w:ascii="Arial" w:hAnsi="Arial" w:cs="Arial"/>
          <w:sz w:val="22"/>
          <w:szCs w:val="22"/>
        </w:rPr>
        <w:t>Wykonawca opisuje przedmiot zamówienia w jeden z następujących sposobów, z uwzględnieniem odrębnych przepisów technicznych:</w:t>
      </w:r>
    </w:p>
    <w:p w:rsidR="00707C02" w:rsidRPr="00B25119" w:rsidRDefault="00707C02" w:rsidP="00B05C77">
      <w:pPr>
        <w:tabs>
          <w:tab w:val="num" w:pos="426"/>
        </w:tabs>
        <w:spacing w:line="240" w:lineRule="auto"/>
        <w:ind w:left="425" w:hanging="425"/>
        <w:jc w:val="both"/>
        <w:rPr>
          <w:rFonts w:ascii="Arial" w:hAnsi="Arial" w:cs="Arial"/>
          <w:lang w:eastAsia="pl-PL"/>
        </w:rPr>
      </w:pPr>
      <w:r w:rsidRPr="00B25119">
        <w:rPr>
          <w:rFonts w:ascii="Arial" w:hAnsi="Arial" w:cs="Arial"/>
          <w:lang w:eastAsia="pl-PL"/>
        </w:rPr>
        <w:t>1)</w:t>
      </w:r>
      <w:r w:rsidRPr="00B25119">
        <w:rPr>
          <w:rFonts w:ascii="Arial" w:hAnsi="Arial" w:cs="Arial"/>
          <w:lang w:eastAsia="pl-PL"/>
        </w:rPr>
        <w:tab/>
        <w:t>przez określenie wymagań dotyczących wydajności lub funkcjonalności, w tym wymagań środowiskowych, pod warunkiem że podane parametry są dostatecznie precyzyjne, aby umożliwić wykonawcom (podmiotom realizującym) ustalenie przedmiotu zamówienia, a zamawiającemu udzielenie zamówienia;</w:t>
      </w:r>
    </w:p>
    <w:p w:rsidR="00707C02" w:rsidRPr="00B25119" w:rsidRDefault="00707C02" w:rsidP="00B05C77">
      <w:pPr>
        <w:tabs>
          <w:tab w:val="num" w:pos="426"/>
          <w:tab w:val="left" w:pos="851"/>
        </w:tabs>
        <w:spacing w:line="240" w:lineRule="auto"/>
        <w:jc w:val="both"/>
        <w:rPr>
          <w:rFonts w:ascii="Arial" w:hAnsi="Arial" w:cs="Arial"/>
          <w:lang w:eastAsia="pl-PL"/>
        </w:rPr>
      </w:pPr>
      <w:r w:rsidRPr="00B25119">
        <w:rPr>
          <w:rFonts w:ascii="Arial" w:hAnsi="Arial" w:cs="Arial"/>
          <w:lang w:eastAsia="pl-PL"/>
        </w:rPr>
        <w:t>2)</w:t>
      </w:r>
      <w:r w:rsidRPr="00B25119">
        <w:rPr>
          <w:rFonts w:ascii="Arial" w:hAnsi="Arial" w:cs="Arial"/>
          <w:lang w:eastAsia="pl-PL"/>
        </w:rPr>
        <w:tab/>
        <w:t>przez odniesienie się w kolejności preferencji do:</w:t>
      </w:r>
    </w:p>
    <w:p w:rsidR="00707C02" w:rsidRPr="00B25119" w:rsidRDefault="00707C02" w:rsidP="00B05C77">
      <w:pPr>
        <w:numPr>
          <w:ilvl w:val="0"/>
          <w:numId w:val="7"/>
        </w:numPr>
        <w:spacing w:after="0" w:line="240" w:lineRule="auto"/>
        <w:ind w:left="426" w:hanging="426"/>
        <w:jc w:val="both"/>
        <w:rPr>
          <w:rFonts w:ascii="Arial" w:hAnsi="Arial" w:cs="Arial"/>
          <w:lang w:eastAsia="pl-PL"/>
        </w:rPr>
      </w:pPr>
      <w:r w:rsidRPr="00B25119">
        <w:rPr>
          <w:rFonts w:ascii="Arial" w:hAnsi="Arial" w:cs="Arial"/>
          <w:lang w:eastAsia="pl-PL"/>
        </w:rPr>
        <w:t>Polskich Norm przenoszących normy europejskie;</w:t>
      </w:r>
    </w:p>
    <w:p w:rsidR="00707C02" w:rsidRPr="00B25119" w:rsidRDefault="00707C02" w:rsidP="00B05C77">
      <w:pPr>
        <w:numPr>
          <w:ilvl w:val="0"/>
          <w:numId w:val="7"/>
        </w:numPr>
        <w:spacing w:after="0" w:line="240" w:lineRule="auto"/>
        <w:ind w:left="426" w:hanging="426"/>
        <w:jc w:val="both"/>
        <w:rPr>
          <w:rFonts w:ascii="Arial" w:hAnsi="Arial" w:cs="Arial"/>
          <w:lang w:eastAsia="pl-PL"/>
        </w:rPr>
      </w:pPr>
      <w:r w:rsidRPr="00B25119">
        <w:rPr>
          <w:rFonts w:ascii="Arial" w:hAnsi="Arial" w:cs="Arial"/>
          <w:lang w:eastAsia="pl-PL"/>
        </w:rPr>
        <w:t>norm innych państw członkowskich Europejskiego Obszaru Gospodarczego przenoszących normy europejskie;</w:t>
      </w:r>
    </w:p>
    <w:p w:rsidR="00707C02" w:rsidRPr="00B25119" w:rsidRDefault="00707C02" w:rsidP="00B05C77">
      <w:pPr>
        <w:numPr>
          <w:ilvl w:val="0"/>
          <w:numId w:val="7"/>
        </w:numPr>
        <w:spacing w:after="0" w:line="240" w:lineRule="auto"/>
        <w:ind w:left="426" w:hanging="426"/>
        <w:jc w:val="both"/>
        <w:rPr>
          <w:rFonts w:ascii="Arial" w:hAnsi="Arial" w:cs="Arial"/>
          <w:lang w:eastAsia="pl-PL"/>
        </w:rPr>
      </w:pPr>
      <w:r w:rsidRPr="00B25119">
        <w:rPr>
          <w:rFonts w:ascii="Arial" w:hAnsi="Arial" w:cs="Arial"/>
          <w:lang w:eastAsia="pl-PL"/>
        </w:rPr>
        <w:t xml:space="preserve">europejskich ocen technicznych, rozumianych jako udokumentowane oceny działania wyrobu budowlanego względem jego podstawowych cech, zgodnie z odpowiednim europejskim dokumentem oceny, w rozumieniu </w:t>
      </w:r>
      <w:hyperlink r:id="rId8" w:anchor="/document/68027572?unitId=art(2)pkt(12)&amp;cm=DOCUMENT" w:tgtFrame="_blank" w:history="1">
        <w:r w:rsidRPr="00B25119">
          <w:rPr>
            <w:rFonts w:ascii="Arial" w:hAnsi="Arial" w:cs="Arial"/>
            <w:lang w:eastAsia="pl-PL"/>
          </w:rPr>
          <w:t>art. 2 pkt 12</w:t>
        </w:r>
      </w:hyperlink>
      <w:r w:rsidRPr="00B25119">
        <w:rPr>
          <w:rFonts w:ascii="Arial" w:hAnsi="Arial" w:cs="Arial"/>
          <w:lang w:eastAsia="pl-PL"/>
        </w:rPr>
        <w:t xml:space="preserve"> rozporządz</w:t>
      </w:r>
      <w:r w:rsidR="00B25119" w:rsidRPr="00B25119">
        <w:rPr>
          <w:rFonts w:ascii="Arial" w:hAnsi="Arial" w:cs="Arial"/>
          <w:lang w:eastAsia="pl-PL"/>
        </w:rPr>
        <w:t>enia Parlamentu Europejskiego i Rady (UE) nr 305/2011</w:t>
      </w:r>
      <w:r w:rsidRPr="00B25119">
        <w:rPr>
          <w:rFonts w:ascii="Arial" w:hAnsi="Arial" w:cs="Arial"/>
          <w:lang w:eastAsia="pl-PL"/>
        </w:rPr>
        <w:t xml:space="preserve"> z dnia 9 marca 2011 r. ustanawiającego zharmonizowane warunki wprowadzania do obrotu wyrobów budowlanych i uchylającego dyrektywę Rady 89/106/EWG (Dz. Urz. UE L 88 z 04.04.2011, str. 5, z późn. zm.);</w:t>
      </w:r>
    </w:p>
    <w:p w:rsidR="00707C02" w:rsidRPr="00B25119" w:rsidRDefault="00707C02" w:rsidP="00B05C77">
      <w:pPr>
        <w:numPr>
          <w:ilvl w:val="0"/>
          <w:numId w:val="7"/>
        </w:numPr>
        <w:spacing w:after="0" w:line="240" w:lineRule="auto"/>
        <w:ind w:left="426" w:hanging="426"/>
        <w:jc w:val="both"/>
        <w:rPr>
          <w:rFonts w:ascii="Arial" w:hAnsi="Arial" w:cs="Arial"/>
          <w:lang w:eastAsia="pl-PL"/>
        </w:rPr>
      </w:pPr>
      <w:r w:rsidRPr="00B25119">
        <w:rPr>
          <w:rFonts w:ascii="Arial" w:hAnsi="Arial" w:cs="Arial"/>
        </w:rPr>
        <w:t>wspólnych specyfikacji technicznych, rozumianych jako specyfikacje techniczne w dziedzinie produktów teleinformatycznych określone zgodnie z art. 13 i art. 14 rozporządzenia Parlamentu Europejskiego i Rady (UE) nr 1025/2012 z dnia 25 października 2012 r. w sprawie normalizacji europejskiej, zmieniającego dyrektywy Rady 89/686/EWG i 93/15/EWG oraz dyrektywy Parlamentu Europejskiego i Rady 94/9/WE, 94/25/WE, 95/16/WE, 97/23/WE, 98/34/WE, 2004/22/WE, 2007/23/WE, 2009/23/WE i 2009/105/WE oraz uchylającego decyzję Rady,87/95/EWG i decyzję Parlamentu Europejskiego i Rady nr 1673/2006/WE (Dz. Urz. UE L 316 z 14.11.2012, str. 12, z późn. zm.);</w:t>
      </w:r>
    </w:p>
    <w:p w:rsidR="00707C02" w:rsidRPr="00B25119" w:rsidRDefault="00707C02" w:rsidP="00B05C77">
      <w:pPr>
        <w:numPr>
          <w:ilvl w:val="0"/>
          <w:numId w:val="7"/>
        </w:numPr>
        <w:spacing w:after="0" w:line="240" w:lineRule="auto"/>
        <w:ind w:left="426" w:hanging="426"/>
        <w:jc w:val="both"/>
        <w:rPr>
          <w:rFonts w:ascii="Arial" w:hAnsi="Arial" w:cs="Arial"/>
        </w:rPr>
      </w:pPr>
      <w:r w:rsidRPr="00B25119">
        <w:rPr>
          <w:rFonts w:ascii="Arial" w:hAnsi="Arial" w:cs="Arial"/>
          <w:lang w:eastAsia="pl-PL"/>
        </w:rPr>
        <w:t>norm międzynarodowych;</w:t>
      </w:r>
    </w:p>
    <w:p w:rsidR="00707C02" w:rsidRPr="00B25119" w:rsidRDefault="00707C02" w:rsidP="00B05C77">
      <w:pPr>
        <w:numPr>
          <w:ilvl w:val="0"/>
          <w:numId w:val="7"/>
        </w:numPr>
        <w:spacing w:after="0" w:line="240" w:lineRule="auto"/>
        <w:ind w:left="426" w:hanging="426"/>
        <w:jc w:val="both"/>
        <w:rPr>
          <w:rFonts w:ascii="Arial" w:hAnsi="Arial" w:cs="Arial"/>
        </w:rPr>
      </w:pPr>
      <w:r w:rsidRPr="00B25119">
        <w:rPr>
          <w:rFonts w:ascii="Arial" w:hAnsi="Arial" w:cs="Arial"/>
          <w:lang w:eastAsia="pl-PL"/>
        </w:rPr>
        <w:t>innych systemów referencji technicznych ustanowionych przez europejskie organizacje normalizacyjne.</w:t>
      </w:r>
    </w:p>
    <w:p w:rsidR="00707C02" w:rsidRPr="00B25119" w:rsidRDefault="00707C02" w:rsidP="00B05C77">
      <w:pPr>
        <w:numPr>
          <w:ilvl w:val="0"/>
          <w:numId w:val="7"/>
        </w:numPr>
        <w:spacing w:after="0" w:line="240" w:lineRule="auto"/>
        <w:ind w:left="426" w:hanging="426"/>
        <w:jc w:val="both"/>
        <w:rPr>
          <w:rFonts w:ascii="Arial" w:hAnsi="Arial" w:cs="Arial"/>
          <w:lang w:eastAsia="pl-PL"/>
        </w:rPr>
      </w:pPr>
      <w:r w:rsidRPr="00B25119">
        <w:rPr>
          <w:rFonts w:ascii="Arial" w:hAnsi="Arial" w:cs="Arial"/>
          <w:lang w:eastAsia="pl-PL"/>
        </w:rPr>
        <w:lastRenderedPageBreak/>
        <w:t>przez odniesienie do norm, europejskich ocen technicznych, specyfikacji technicznych i systemów referencji technicznych, o których mowa w pkt 2, oraz przez odniesienie do wymagań dotyczących wydajności lub funkcjonalności, o których mowa w pkt 1, w zakresie wybranych cech;</w:t>
      </w:r>
    </w:p>
    <w:p w:rsidR="00707C02" w:rsidRPr="00B25119" w:rsidRDefault="00707C02" w:rsidP="00B05C77">
      <w:pPr>
        <w:numPr>
          <w:ilvl w:val="0"/>
          <w:numId w:val="7"/>
        </w:numPr>
        <w:spacing w:after="0" w:line="240" w:lineRule="auto"/>
        <w:ind w:left="426" w:hanging="426"/>
        <w:jc w:val="both"/>
        <w:rPr>
          <w:rFonts w:ascii="Arial" w:hAnsi="Arial" w:cs="Arial"/>
          <w:lang w:eastAsia="pl-PL"/>
        </w:rPr>
      </w:pPr>
      <w:r w:rsidRPr="00B25119">
        <w:rPr>
          <w:rFonts w:ascii="Arial" w:hAnsi="Arial" w:cs="Arial"/>
          <w:lang w:eastAsia="pl-PL"/>
        </w:rPr>
        <w:t>przez odniesienie do kategorii wymagań dotyczących wydajności lub funkcjonalności, o których mowa w pkt 1, i przez odniesienie do norm, europejskich ocen technicznych, specyfikacji technicznych i systemów referencji technicznych, o których mowa w pkt 2, stanowiących środek domniemania zgodności z tego rodzaju wymaganiami dotyczącymi wydajności lub funkcjonalności.</w:t>
      </w:r>
    </w:p>
    <w:p w:rsidR="00707C02" w:rsidRPr="00B25119" w:rsidRDefault="00707C02" w:rsidP="00B05C77">
      <w:pPr>
        <w:numPr>
          <w:ilvl w:val="0"/>
          <w:numId w:val="8"/>
        </w:numPr>
        <w:spacing w:after="0" w:line="240" w:lineRule="auto"/>
        <w:jc w:val="both"/>
        <w:rPr>
          <w:rFonts w:ascii="Arial" w:hAnsi="Arial" w:cs="Arial"/>
          <w:lang w:eastAsia="pl-PL"/>
        </w:rPr>
      </w:pPr>
      <w:r w:rsidRPr="00B25119">
        <w:rPr>
          <w:rFonts w:ascii="Arial" w:hAnsi="Arial" w:cs="Arial"/>
          <w:lang w:eastAsia="pl-PL"/>
        </w:rPr>
        <w:t>W przypadku braku Polskich Norm przenoszących normy europejskie, norm innych państw członkowskich Europejskiego Obszaru Gospodarczego przenoszących normy europejskie oraz norm, europejskich ocen technicznych, specyfikacji technicznych i systemów referencji technicznych,  o których mowa w ust. 5  pkt 2, przy opisie przedmiotu zamówienia uwzględnia się w kolejności:</w:t>
      </w:r>
    </w:p>
    <w:p w:rsidR="00707C02" w:rsidRPr="00B25119" w:rsidRDefault="00707C02" w:rsidP="00B05C77">
      <w:pPr>
        <w:spacing w:line="240" w:lineRule="auto"/>
        <w:ind w:left="426" w:hanging="426"/>
        <w:jc w:val="both"/>
        <w:rPr>
          <w:rFonts w:ascii="Arial" w:hAnsi="Arial" w:cs="Arial"/>
          <w:lang w:eastAsia="pl-PL"/>
        </w:rPr>
      </w:pPr>
      <w:r w:rsidRPr="00B25119">
        <w:rPr>
          <w:rFonts w:ascii="Arial" w:hAnsi="Arial" w:cs="Arial"/>
          <w:lang w:eastAsia="pl-PL"/>
        </w:rPr>
        <w:t>1)</w:t>
      </w:r>
      <w:r w:rsidRPr="00B25119">
        <w:rPr>
          <w:rFonts w:ascii="Arial" w:hAnsi="Arial" w:cs="Arial"/>
          <w:lang w:eastAsia="pl-PL"/>
        </w:rPr>
        <w:tab/>
        <w:t xml:space="preserve">Polskie Normy; </w:t>
      </w:r>
    </w:p>
    <w:p w:rsidR="00707C02" w:rsidRPr="00B25119" w:rsidRDefault="00707C02" w:rsidP="00B05C77">
      <w:pPr>
        <w:spacing w:line="240" w:lineRule="auto"/>
        <w:ind w:left="426" w:hanging="426"/>
        <w:jc w:val="both"/>
        <w:rPr>
          <w:rFonts w:ascii="Arial" w:hAnsi="Arial" w:cs="Arial"/>
          <w:lang w:eastAsia="pl-PL"/>
        </w:rPr>
      </w:pPr>
      <w:r w:rsidRPr="00B25119">
        <w:rPr>
          <w:rFonts w:ascii="Arial" w:hAnsi="Arial" w:cs="Arial"/>
          <w:lang w:eastAsia="pl-PL"/>
        </w:rPr>
        <w:t>2)</w:t>
      </w:r>
      <w:r w:rsidRPr="00B25119">
        <w:rPr>
          <w:rFonts w:ascii="Arial" w:hAnsi="Arial" w:cs="Arial"/>
          <w:lang w:eastAsia="pl-PL"/>
        </w:rPr>
        <w:tab/>
        <w:t xml:space="preserve">krajowe oceny techniczne wydawane na podstawie ustawy z dnia 16 kwietnia 2004 r. o wyrobach budowlanych (Dz. U. z 2019 r. poz. 266 i 730); </w:t>
      </w:r>
    </w:p>
    <w:p w:rsidR="00707C02" w:rsidRPr="00B25119" w:rsidRDefault="00707C02" w:rsidP="00B05C77">
      <w:pPr>
        <w:spacing w:line="240" w:lineRule="auto"/>
        <w:ind w:left="426" w:hanging="426"/>
        <w:jc w:val="both"/>
        <w:rPr>
          <w:rFonts w:ascii="Arial" w:hAnsi="Arial" w:cs="Arial"/>
          <w:lang w:eastAsia="pl-PL"/>
        </w:rPr>
      </w:pPr>
      <w:r w:rsidRPr="00B25119">
        <w:rPr>
          <w:rFonts w:ascii="Arial" w:hAnsi="Arial" w:cs="Arial"/>
          <w:lang w:eastAsia="pl-PL"/>
        </w:rPr>
        <w:t>3)</w:t>
      </w:r>
      <w:r w:rsidRPr="00B25119">
        <w:rPr>
          <w:rFonts w:ascii="Arial" w:hAnsi="Arial" w:cs="Arial"/>
          <w:lang w:eastAsia="pl-PL"/>
        </w:rPr>
        <w:tab/>
        <w:t xml:space="preserve">polskie specyfikacje techniczne dotyczące projektowania, wyliczeń i realizacji robót budowlanych oraz wykorzystania dostaw; </w:t>
      </w:r>
    </w:p>
    <w:p w:rsidR="00707C02" w:rsidRPr="00B25119" w:rsidRDefault="00707C02" w:rsidP="00B05C77">
      <w:pPr>
        <w:spacing w:line="240" w:lineRule="auto"/>
        <w:ind w:left="426" w:hanging="426"/>
        <w:jc w:val="both"/>
        <w:rPr>
          <w:rFonts w:ascii="Arial" w:hAnsi="Arial" w:cs="Arial"/>
          <w:lang w:eastAsia="pl-PL"/>
        </w:rPr>
      </w:pPr>
      <w:r w:rsidRPr="00B25119">
        <w:rPr>
          <w:rFonts w:ascii="Arial" w:hAnsi="Arial" w:cs="Arial"/>
          <w:lang w:eastAsia="pl-PL"/>
        </w:rPr>
        <w:t>4)</w:t>
      </w:r>
      <w:r w:rsidRPr="00B25119">
        <w:rPr>
          <w:rFonts w:ascii="Arial" w:hAnsi="Arial" w:cs="Arial"/>
          <w:lang w:eastAsia="pl-PL"/>
        </w:rPr>
        <w:tab/>
        <w:t>krajowe deklaracje zgodności oraz krajowe deklaracje właściwości użytkowych wyrobu budowlanego.</w:t>
      </w:r>
    </w:p>
    <w:p w:rsidR="00707C02" w:rsidRPr="00B25119" w:rsidRDefault="00707C02" w:rsidP="00B05C77">
      <w:pPr>
        <w:pStyle w:val="Akapitzlist"/>
        <w:ind w:left="426" w:hanging="426"/>
        <w:jc w:val="both"/>
        <w:rPr>
          <w:rFonts w:ascii="Arial" w:hAnsi="Arial" w:cs="Arial"/>
          <w:sz w:val="22"/>
          <w:szCs w:val="22"/>
        </w:rPr>
      </w:pPr>
      <w:r w:rsidRPr="00B25119">
        <w:rPr>
          <w:rFonts w:ascii="Arial" w:hAnsi="Arial" w:cs="Arial"/>
          <w:sz w:val="22"/>
          <w:szCs w:val="22"/>
          <w:lang w:eastAsia="pl-PL"/>
        </w:rPr>
        <w:t>7.</w:t>
      </w:r>
      <w:r w:rsidRPr="00B25119">
        <w:rPr>
          <w:rFonts w:ascii="Arial" w:hAnsi="Arial" w:cs="Arial"/>
          <w:sz w:val="22"/>
          <w:szCs w:val="22"/>
          <w:lang w:eastAsia="pl-PL"/>
        </w:rPr>
        <w:tab/>
        <w:t xml:space="preserve">Opisując przedmiot zamówienia przez odniesienie do norm, europejskich ocen technicznych, aprobat, specyfikacji technicznych i systemów referencji technicznych, o których mowa w ust. 5 pkt 2 i ust. 6, wykonawca jest obowiązany wskazać, że dopuszcza rozwiązania równoważne opisywanym, a odniesieniu takiemu towarzyszą wyrazy "lub równoważne" </w:t>
      </w:r>
      <w:r w:rsidRPr="00B25119">
        <w:rPr>
          <w:rFonts w:ascii="Arial" w:hAnsi="Arial" w:cs="Arial"/>
          <w:sz w:val="22"/>
          <w:szCs w:val="22"/>
        </w:rPr>
        <w:t>i określone są warunki równoważności zgodnie z ust. 4.</w:t>
      </w:r>
    </w:p>
    <w:p w:rsidR="00707C02" w:rsidRPr="00B25119" w:rsidRDefault="00707C02" w:rsidP="00B05C77">
      <w:pPr>
        <w:pStyle w:val="Akapitzlist"/>
        <w:ind w:left="426" w:hanging="426"/>
        <w:jc w:val="both"/>
        <w:rPr>
          <w:rFonts w:ascii="Arial" w:hAnsi="Arial" w:cs="Arial"/>
          <w:sz w:val="22"/>
          <w:szCs w:val="22"/>
        </w:rPr>
      </w:pPr>
      <w:r w:rsidRPr="00B25119">
        <w:rPr>
          <w:rFonts w:ascii="Arial" w:hAnsi="Arial" w:cs="Arial"/>
          <w:sz w:val="22"/>
          <w:szCs w:val="22"/>
        </w:rPr>
        <w:t>8.</w:t>
      </w:r>
      <w:r w:rsidRPr="00B25119">
        <w:rPr>
          <w:rFonts w:ascii="Arial" w:hAnsi="Arial" w:cs="Arial"/>
          <w:sz w:val="22"/>
          <w:szCs w:val="22"/>
        </w:rPr>
        <w:tab/>
      </w:r>
      <w:r w:rsidRPr="00B25119">
        <w:rPr>
          <w:rFonts w:ascii="Arial" w:hAnsi="Arial" w:cs="Arial"/>
          <w:sz w:val="22"/>
          <w:szCs w:val="22"/>
          <w:lang w:eastAsia="pl-PL"/>
        </w:rPr>
        <w:t xml:space="preserve">W przypadku, o którym mowa w ust. 5 pkt 2, wykonawca winien uwzględnić i określić w opisie przedmiotu zamówienia wymagane cechy materiału, produktu lub usługi, odpowiadające przeznaczeniu zamierzonemu przez zamawiającego, które mogą dotyczyć w szczególności: </w:t>
      </w:r>
    </w:p>
    <w:p w:rsidR="00707C02" w:rsidRPr="00B25119" w:rsidRDefault="00707C02" w:rsidP="00B05C77">
      <w:pPr>
        <w:tabs>
          <w:tab w:val="left" w:pos="709"/>
          <w:tab w:val="left" w:pos="851"/>
        </w:tabs>
        <w:autoSpaceDE w:val="0"/>
        <w:autoSpaceDN w:val="0"/>
        <w:adjustRightInd w:val="0"/>
        <w:spacing w:line="240" w:lineRule="auto"/>
        <w:ind w:left="426" w:hanging="426"/>
        <w:jc w:val="both"/>
        <w:rPr>
          <w:rFonts w:ascii="Arial" w:hAnsi="Arial" w:cs="Arial"/>
          <w:lang w:eastAsia="pl-PL"/>
        </w:rPr>
      </w:pPr>
      <w:r w:rsidRPr="00B25119">
        <w:rPr>
          <w:rFonts w:ascii="Arial" w:hAnsi="Arial" w:cs="Arial"/>
          <w:lang w:eastAsia="pl-PL"/>
        </w:rPr>
        <w:t xml:space="preserve">1) </w:t>
      </w:r>
      <w:r w:rsidRPr="00B25119">
        <w:rPr>
          <w:rFonts w:ascii="Arial" w:hAnsi="Arial" w:cs="Arial"/>
          <w:lang w:eastAsia="pl-PL"/>
        </w:rPr>
        <w:tab/>
        <w:t xml:space="preserve">określonych poziomów oddziaływania na środowisko i klimat; </w:t>
      </w:r>
    </w:p>
    <w:p w:rsidR="00707C02" w:rsidRPr="00B25119" w:rsidRDefault="00707C02" w:rsidP="00B05C77">
      <w:pPr>
        <w:tabs>
          <w:tab w:val="left" w:pos="709"/>
          <w:tab w:val="left" w:pos="851"/>
        </w:tabs>
        <w:autoSpaceDE w:val="0"/>
        <w:autoSpaceDN w:val="0"/>
        <w:adjustRightInd w:val="0"/>
        <w:spacing w:line="240" w:lineRule="auto"/>
        <w:ind w:left="426" w:hanging="426"/>
        <w:jc w:val="both"/>
        <w:rPr>
          <w:rFonts w:ascii="Arial" w:hAnsi="Arial" w:cs="Arial"/>
          <w:lang w:eastAsia="pl-PL"/>
        </w:rPr>
      </w:pPr>
      <w:r w:rsidRPr="00B25119">
        <w:rPr>
          <w:rFonts w:ascii="Arial" w:hAnsi="Arial" w:cs="Arial"/>
          <w:lang w:eastAsia="pl-PL"/>
        </w:rPr>
        <w:t>2)</w:t>
      </w:r>
      <w:r w:rsidRPr="00B25119">
        <w:rPr>
          <w:rFonts w:ascii="Arial" w:hAnsi="Arial" w:cs="Arial"/>
          <w:lang w:eastAsia="pl-PL"/>
        </w:rPr>
        <w:tab/>
        <w:t>wymagań w zakresie dostępności dla osób niepełnosprawnych;</w:t>
      </w:r>
    </w:p>
    <w:p w:rsidR="00707C02" w:rsidRPr="00B25119" w:rsidRDefault="00707C02" w:rsidP="00B05C77">
      <w:pPr>
        <w:tabs>
          <w:tab w:val="left" w:pos="709"/>
        </w:tabs>
        <w:autoSpaceDE w:val="0"/>
        <w:autoSpaceDN w:val="0"/>
        <w:adjustRightInd w:val="0"/>
        <w:spacing w:line="240" w:lineRule="auto"/>
        <w:ind w:left="426" w:hanging="426"/>
        <w:jc w:val="both"/>
        <w:rPr>
          <w:rFonts w:ascii="Arial" w:hAnsi="Arial" w:cs="Arial"/>
          <w:lang w:eastAsia="pl-PL"/>
        </w:rPr>
      </w:pPr>
      <w:r w:rsidRPr="00B25119">
        <w:rPr>
          <w:rFonts w:ascii="Arial" w:hAnsi="Arial" w:cs="Arial"/>
          <w:lang w:eastAsia="pl-PL"/>
        </w:rPr>
        <w:t>3)</w:t>
      </w:r>
      <w:r w:rsidRPr="00B25119">
        <w:rPr>
          <w:rFonts w:ascii="Arial" w:hAnsi="Arial" w:cs="Arial"/>
          <w:lang w:eastAsia="pl-PL"/>
        </w:rPr>
        <w:tab/>
        <w:t xml:space="preserve">określonej wydajności, bezpieczeństwa lub wymiarów, w tym procedur dotyczących zapewnienia jakości; </w:t>
      </w:r>
    </w:p>
    <w:p w:rsidR="00707C02" w:rsidRPr="00B25119" w:rsidRDefault="00707C02" w:rsidP="00B05C77">
      <w:pPr>
        <w:tabs>
          <w:tab w:val="left" w:pos="709"/>
          <w:tab w:val="left" w:pos="851"/>
        </w:tabs>
        <w:autoSpaceDE w:val="0"/>
        <w:autoSpaceDN w:val="0"/>
        <w:adjustRightInd w:val="0"/>
        <w:spacing w:line="240" w:lineRule="auto"/>
        <w:ind w:left="426" w:hanging="426"/>
        <w:jc w:val="both"/>
        <w:rPr>
          <w:rFonts w:ascii="Arial" w:hAnsi="Arial" w:cs="Arial"/>
          <w:lang w:eastAsia="pl-PL"/>
        </w:rPr>
      </w:pPr>
      <w:r w:rsidRPr="00B25119">
        <w:rPr>
          <w:rFonts w:ascii="Arial" w:hAnsi="Arial" w:cs="Arial"/>
          <w:lang w:eastAsia="pl-PL"/>
        </w:rPr>
        <w:t>4)</w:t>
      </w:r>
      <w:r w:rsidRPr="00B25119">
        <w:rPr>
          <w:rFonts w:ascii="Arial" w:hAnsi="Arial" w:cs="Arial"/>
          <w:lang w:eastAsia="pl-PL"/>
        </w:rPr>
        <w:tab/>
        <w:t xml:space="preserve">określonej terminologii, symboli, testów i metod testowania; </w:t>
      </w:r>
    </w:p>
    <w:p w:rsidR="00707C02" w:rsidRPr="00B25119" w:rsidRDefault="00707C02" w:rsidP="00B05C77">
      <w:pPr>
        <w:tabs>
          <w:tab w:val="left" w:pos="709"/>
          <w:tab w:val="left" w:pos="851"/>
        </w:tabs>
        <w:autoSpaceDE w:val="0"/>
        <w:autoSpaceDN w:val="0"/>
        <w:adjustRightInd w:val="0"/>
        <w:spacing w:line="240" w:lineRule="auto"/>
        <w:ind w:left="426" w:hanging="426"/>
        <w:jc w:val="both"/>
        <w:rPr>
          <w:rFonts w:ascii="Arial" w:hAnsi="Arial" w:cs="Arial"/>
          <w:lang w:eastAsia="pl-PL"/>
        </w:rPr>
      </w:pPr>
      <w:r w:rsidRPr="00B25119">
        <w:rPr>
          <w:rFonts w:ascii="Arial" w:hAnsi="Arial" w:cs="Arial"/>
          <w:lang w:eastAsia="pl-PL"/>
        </w:rPr>
        <w:t>5)</w:t>
      </w:r>
      <w:r w:rsidRPr="00B25119">
        <w:rPr>
          <w:rFonts w:ascii="Arial" w:hAnsi="Arial" w:cs="Arial"/>
          <w:lang w:eastAsia="pl-PL"/>
        </w:rPr>
        <w:tab/>
        <w:t>określonego opakowania i oznakowania;</w:t>
      </w:r>
    </w:p>
    <w:p w:rsidR="00707C02" w:rsidRPr="00B25119" w:rsidRDefault="00707C02" w:rsidP="00B05C77">
      <w:pPr>
        <w:tabs>
          <w:tab w:val="left" w:pos="709"/>
          <w:tab w:val="left" w:pos="851"/>
        </w:tabs>
        <w:autoSpaceDE w:val="0"/>
        <w:autoSpaceDN w:val="0"/>
        <w:adjustRightInd w:val="0"/>
        <w:spacing w:line="240" w:lineRule="auto"/>
        <w:ind w:left="426" w:hanging="426"/>
        <w:jc w:val="both"/>
        <w:rPr>
          <w:rFonts w:ascii="Arial" w:hAnsi="Arial" w:cs="Arial"/>
          <w:lang w:eastAsia="pl-PL"/>
        </w:rPr>
      </w:pPr>
      <w:r w:rsidRPr="00B25119">
        <w:rPr>
          <w:rFonts w:ascii="Arial" w:hAnsi="Arial" w:cs="Arial"/>
          <w:lang w:eastAsia="pl-PL"/>
        </w:rPr>
        <w:t>6)</w:t>
      </w:r>
      <w:r w:rsidRPr="00B25119">
        <w:rPr>
          <w:rFonts w:ascii="Arial" w:hAnsi="Arial" w:cs="Arial"/>
          <w:lang w:eastAsia="pl-PL"/>
        </w:rPr>
        <w:tab/>
        <w:t xml:space="preserve">określonej etykiety; </w:t>
      </w:r>
    </w:p>
    <w:p w:rsidR="00707C02" w:rsidRPr="00B25119" w:rsidRDefault="00707C02" w:rsidP="00B05C77">
      <w:pPr>
        <w:tabs>
          <w:tab w:val="left" w:pos="709"/>
          <w:tab w:val="left" w:pos="851"/>
        </w:tabs>
        <w:autoSpaceDE w:val="0"/>
        <w:autoSpaceDN w:val="0"/>
        <w:adjustRightInd w:val="0"/>
        <w:spacing w:line="240" w:lineRule="auto"/>
        <w:ind w:left="426" w:hanging="426"/>
        <w:jc w:val="both"/>
        <w:rPr>
          <w:rFonts w:ascii="Arial" w:hAnsi="Arial" w:cs="Arial"/>
          <w:lang w:eastAsia="pl-PL"/>
        </w:rPr>
      </w:pPr>
      <w:r w:rsidRPr="00B25119">
        <w:rPr>
          <w:rFonts w:ascii="Arial" w:hAnsi="Arial" w:cs="Arial"/>
          <w:lang w:eastAsia="pl-PL"/>
        </w:rPr>
        <w:t xml:space="preserve">7) </w:t>
      </w:r>
      <w:r w:rsidRPr="00B25119">
        <w:rPr>
          <w:rFonts w:ascii="Arial" w:hAnsi="Arial" w:cs="Arial"/>
          <w:lang w:eastAsia="pl-PL"/>
        </w:rPr>
        <w:tab/>
        <w:t xml:space="preserve">instrukcji użytkowania; </w:t>
      </w:r>
    </w:p>
    <w:p w:rsidR="00707C02" w:rsidRPr="00B25119" w:rsidRDefault="00707C02" w:rsidP="00B05C77">
      <w:pPr>
        <w:tabs>
          <w:tab w:val="left" w:pos="709"/>
          <w:tab w:val="left" w:pos="851"/>
        </w:tabs>
        <w:autoSpaceDE w:val="0"/>
        <w:autoSpaceDN w:val="0"/>
        <w:adjustRightInd w:val="0"/>
        <w:spacing w:line="240" w:lineRule="auto"/>
        <w:ind w:left="426" w:hanging="426"/>
        <w:jc w:val="both"/>
        <w:rPr>
          <w:rFonts w:ascii="Arial" w:hAnsi="Arial" w:cs="Arial"/>
          <w:lang w:eastAsia="pl-PL"/>
        </w:rPr>
      </w:pPr>
      <w:r w:rsidRPr="00B25119">
        <w:rPr>
          <w:rFonts w:ascii="Arial" w:hAnsi="Arial" w:cs="Arial"/>
          <w:lang w:eastAsia="pl-PL"/>
        </w:rPr>
        <w:t>8)</w:t>
      </w:r>
      <w:r w:rsidRPr="00B25119">
        <w:rPr>
          <w:rFonts w:ascii="Arial" w:hAnsi="Arial" w:cs="Arial"/>
          <w:lang w:eastAsia="pl-PL"/>
        </w:rPr>
        <w:tab/>
        <w:t>procesów i metod produkcji na każdym etapie cyklu życia obiektów budowlanych;</w:t>
      </w:r>
    </w:p>
    <w:p w:rsidR="00707C02" w:rsidRPr="00B25119" w:rsidRDefault="00707C02" w:rsidP="00B05C77">
      <w:pPr>
        <w:tabs>
          <w:tab w:val="left" w:pos="709"/>
          <w:tab w:val="left" w:pos="851"/>
        </w:tabs>
        <w:autoSpaceDE w:val="0"/>
        <w:autoSpaceDN w:val="0"/>
        <w:adjustRightInd w:val="0"/>
        <w:spacing w:line="240" w:lineRule="auto"/>
        <w:ind w:left="426" w:hanging="426"/>
        <w:jc w:val="both"/>
        <w:rPr>
          <w:rFonts w:ascii="Arial" w:hAnsi="Arial" w:cs="Arial"/>
          <w:lang w:eastAsia="pl-PL"/>
        </w:rPr>
      </w:pPr>
      <w:r w:rsidRPr="00B25119">
        <w:rPr>
          <w:rFonts w:ascii="Arial" w:hAnsi="Arial" w:cs="Arial"/>
          <w:lang w:eastAsia="pl-PL"/>
        </w:rPr>
        <w:t>9)</w:t>
      </w:r>
      <w:r w:rsidRPr="00B25119">
        <w:rPr>
          <w:rFonts w:ascii="Arial" w:hAnsi="Arial" w:cs="Arial"/>
          <w:lang w:eastAsia="pl-PL"/>
        </w:rPr>
        <w:tab/>
        <w:t xml:space="preserve">dodatkowych badań i testów przeprowadzanych przez jednostki autoryzowane w rozumieniu ustawy z dnia 13 kwietnia 2016 r. o systemach oceny zgodności i nadzoru rynku (Dz. U. z 2019 r. poz. 544); </w:t>
      </w:r>
    </w:p>
    <w:p w:rsidR="00707C02" w:rsidRPr="00B25119" w:rsidRDefault="00707C02" w:rsidP="00B05C77">
      <w:pPr>
        <w:tabs>
          <w:tab w:val="left" w:pos="709"/>
          <w:tab w:val="left" w:pos="851"/>
        </w:tabs>
        <w:autoSpaceDE w:val="0"/>
        <w:autoSpaceDN w:val="0"/>
        <w:adjustRightInd w:val="0"/>
        <w:spacing w:line="240" w:lineRule="auto"/>
        <w:ind w:left="426" w:hanging="426"/>
        <w:jc w:val="both"/>
        <w:rPr>
          <w:rFonts w:ascii="Arial" w:hAnsi="Arial" w:cs="Arial"/>
          <w:lang w:eastAsia="pl-PL"/>
        </w:rPr>
      </w:pPr>
      <w:r w:rsidRPr="00B25119">
        <w:rPr>
          <w:rFonts w:ascii="Arial" w:hAnsi="Arial" w:cs="Arial"/>
          <w:lang w:eastAsia="pl-PL"/>
        </w:rPr>
        <w:t>10)</w:t>
      </w:r>
      <w:r w:rsidRPr="00B25119">
        <w:rPr>
          <w:rFonts w:ascii="Arial" w:hAnsi="Arial" w:cs="Arial"/>
          <w:lang w:eastAsia="pl-PL"/>
        </w:rPr>
        <w:tab/>
        <w:t>określonych zasad dotyczących projektowania i kosztorysowania;</w:t>
      </w:r>
    </w:p>
    <w:p w:rsidR="00707C02" w:rsidRPr="00B25119" w:rsidRDefault="00707C02" w:rsidP="00B05C77">
      <w:pPr>
        <w:tabs>
          <w:tab w:val="left" w:pos="709"/>
          <w:tab w:val="left" w:pos="851"/>
        </w:tabs>
        <w:autoSpaceDE w:val="0"/>
        <w:autoSpaceDN w:val="0"/>
        <w:adjustRightInd w:val="0"/>
        <w:spacing w:line="240" w:lineRule="auto"/>
        <w:ind w:left="426" w:hanging="426"/>
        <w:jc w:val="both"/>
        <w:rPr>
          <w:rFonts w:ascii="Arial" w:hAnsi="Arial" w:cs="Arial"/>
          <w:lang w:eastAsia="pl-PL"/>
        </w:rPr>
      </w:pPr>
      <w:r w:rsidRPr="00B25119">
        <w:rPr>
          <w:rFonts w:ascii="Arial" w:hAnsi="Arial" w:cs="Arial"/>
          <w:lang w:eastAsia="pl-PL"/>
        </w:rPr>
        <w:t>11)</w:t>
      </w:r>
      <w:r w:rsidRPr="00B25119">
        <w:rPr>
          <w:rFonts w:ascii="Arial" w:hAnsi="Arial" w:cs="Arial"/>
          <w:lang w:eastAsia="pl-PL"/>
        </w:rPr>
        <w:tab/>
        <w:t>warunków testowania, kontroli i odbioru obiektów budowlanych;</w:t>
      </w:r>
    </w:p>
    <w:p w:rsidR="00707C02" w:rsidRPr="00B25119" w:rsidRDefault="00707C02" w:rsidP="00B05C77">
      <w:pPr>
        <w:tabs>
          <w:tab w:val="left" w:pos="709"/>
          <w:tab w:val="left" w:pos="851"/>
        </w:tabs>
        <w:autoSpaceDE w:val="0"/>
        <w:autoSpaceDN w:val="0"/>
        <w:adjustRightInd w:val="0"/>
        <w:spacing w:line="240" w:lineRule="auto"/>
        <w:ind w:left="426" w:hanging="426"/>
        <w:jc w:val="both"/>
        <w:rPr>
          <w:rFonts w:ascii="Arial" w:hAnsi="Arial" w:cs="Arial"/>
          <w:lang w:eastAsia="pl-PL"/>
        </w:rPr>
      </w:pPr>
      <w:r w:rsidRPr="00B25119">
        <w:rPr>
          <w:rFonts w:ascii="Arial" w:hAnsi="Arial" w:cs="Arial"/>
          <w:lang w:eastAsia="pl-PL"/>
        </w:rPr>
        <w:t>12)</w:t>
      </w:r>
      <w:r w:rsidRPr="00B25119">
        <w:rPr>
          <w:rFonts w:ascii="Arial" w:hAnsi="Arial" w:cs="Arial"/>
          <w:lang w:eastAsia="pl-PL"/>
        </w:rPr>
        <w:tab/>
        <w:t xml:space="preserve">metod i technik budowy; </w:t>
      </w:r>
    </w:p>
    <w:p w:rsidR="00707C02" w:rsidRPr="00B25119" w:rsidRDefault="00707C02" w:rsidP="00B05C77">
      <w:pPr>
        <w:tabs>
          <w:tab w:val="left" w:pos="709"/>
          <w:tab w:val="left" w:pos="851"/>
        </w:tabs>
        <w:autoSpaceDE w:val="0"/>
        <w:autoSpaceDN w:val="0"/>
        <w:adjustRightInd w:val="0"/>
        <w:spacing w:line="240" w:lineRule="auto"/>
        <w:ind w:left="426" w:hanging="426"/>
        <w:jc w:val="both"/>
        <w:rPr>
          <w:rFonts w:ascii="Arial" w:hAnsi="Arial" w:cs="Arial"/>
          <w:lang w:eastAsia="pl-PL"/>
        </w:rPr>
      </w:pPr>
      <w:r w:rsidRPr="00B25119">
        <w:rPr>
          <w:rFonts w:ascii="Arial" w:hAnsi="Arial" w:cs="Arial"/>
          <w:lang w:eastAsia="pl-PL"/>
        </w:rPr>
        <w:t>13)</w:t>
      </w:r>
      <w:r w:rsidRPr="00B25119">
        <w:rPr>
          <w:rFonts w:ascii="Arial" w:hAnsi="Arial" w:cs="Arial"/>
          <w:lang w:eastAsia="pl-PL"/>
        </w:rPr>
        <w:tab/>
        <w:t>wszelkich pozostałych warunków technicznych.</w:t>
      </w:r>
    </w:p>
    <w:p w:rsidR="00707C02" w:rsidRPr="00B25119" w:rsidRDefault="00B25119" w:rsidP="00B05C77">
      <w:pPr>
        <w:spacing w:line="240" w:lineRule="auto"/>
        <w:ind w:left="426" w:hanging="426"/>
        <w:jc w:val="both"/>
        <w:rPr>
          <w:rFonts w:ascii="Arial" w:hAnsi="Arial" w:cs="Arial"/>
          <w:lang w:eastAsia="pl-PL"/>
        </w:rPr>
      </w:pPr>
      <w:r w:rsidRPr="00B25119">
        <w:rPr>
          <w:rFonts w:ascii="Arial" w:hAnsi="Arial" w:cs="Arial"/>
          <w:lang w:eastAsia="pl-PL"/>
        </w:rPr>
        <w:t>9.</w:t>
      </w:r>
      <w:r w:rsidR="00707C02" w:rsidRPr="00B25119">
        <w:rPr>
          <w:rFonts w:ascii="Arial" w:hAnsi="Arial" w:cs="Arial"/>
          <w:lang w:eastAsia="pl-PL"/>
        </w:rPr>
        <w:tab/>
        <w:t xml:space="preserve">Do opisu przedmiotu zamówienia stosuje się nazwy i kody określone we Wspólnym Słowniku Zamówień. </w:t>
      </w:r>
    </w:p>
    <w:p w:rsidR="00707C02" w:rsidRPr="00B25119" w:rsidRDefault="00707C02" w:rsidP="00B05C77">
      <w:pPr>
        <w:spacing w:line="240" w:lineRule="auto"/>
        <w:ind w:left="426" w:hanging="426"/>
        <w:jc w:val="both"/>
        <w:rPr>
          <w:rFonts w:ascii="Arial" w:hAnsi="Arial" w:cs="Arial"/>
          <w:lang w:eastAsia="pl-PL"/>
        </w:rPr>
      </w:pPr>
      <w:r w:rsidRPr="00B25119">
        <w:rPr>
          <w:rFonts w:ascii="Arial" w:hAnsi="Arial" w:cs="Arial"/>
          <w:lang w:eastAsia="pl-PL"/>
        </w:rPr>
        <w:lastRenderedPageBreak/>
        <w:t>10.</w:t>
      </w:r>
      <w:r w:rsidRPr="00B25119">
        <w:rPr>
          <w:rFonts w:ascii="Arial" w:hAnsi="Arial" w:cs="Arial"/>
          <w:lang w:eastAsia="pl-PL"/>
        </w:rPr>
        <w:tab/>
        <w:t>Wykonawca (projektant) określa w opisie przedmiotu zamówienia wymagane cechy materiału, produktu lub usługi, odpowiadające przeznaczeniu zamierzonemu przez zamawiającego, w szczególności: wymaga się, adekwatnie do przedmiotu zamówienia, dostosowania projektu do potrzeb wszystkich użytkowników, w tym zapewnienia dostępności dla osób niepełnosprawnych.</w:t>
      </w:r>
    </w:p>
    <w:p w:rsidR="00BA030A" w:rsidRPr="00B25119" w:rsidRDefault="00B25119" w:rsidP="00B05C77">
      <w:pPr>
        <w:spacing w:line="240" w:lineRule="auto"/>
        <w:ind w:left="426" w:hanging="426"/>
        <w:jc w:val="both"/>
        <w:rPr>
          <w:rFonts w:ascii="Arial" w:hAnsi="Arial" w:cs="Arial"/>
        </w:rPr>
      </w:pPr>
      <w:r w:rsidRPr="00B25119">
        <w:rPr>
          <w:rFonts w:ascii="Arial" w:hAnsi="Arial" w:cs="Arial"/>
        </w:rPr>
        <w:t>11.</w:t>
      </w:r>
      <w:r w:rsidRPr="00B25119">
        <w:rPr>
          <w:rFonts w:ascii="Arial" w:hAnsi="Arial" w:cs="Arial"/>
        </w:rPr>
        <w:tab/>
      </w:r>
      <w:r w:rsidR="00707C02" w:rsidRPr="00B25119">
        <w:rPr>
          <w:rFonts w:ascii="Arial" w:hAnsi="Arial" w:cs="Arial"/>
        </w:rPr>
        <w:t>W cenie oferty Wykonawca winien uwzględnić wszystkie koszty związane z wszelkimi pracami projektowymi, wizjami w terenie, badaniami, pomiarami, odkrywkami, uzyskiwaniem wytycznych, warunków technicznych, uzgodnień, ekspertyzy, odstępstwa, oraz postępowaniami administracyjnymi</w:t>
      </w:r>
      <w:r w:rsidR="00BA030A">
        <w:rPr>
          <w:rFonts w:ascii="Arial" w:hAnsi="Arial" w:cs="Arial"/>
        </w:rPr>
        <w:t xml:space="preserve"> wynikającymi z zakresu projektu, jego lokalizacji i charakteru i statusu prawnego.</w:t>
      </w:r>
    </w:p>
    <w:p w:rsidR="00707C02" w:rsidRPr="00B25119" w:rsidRDefault="00707C02" w:rsidP="00B05C77">
      <w:pPr>
        <w:spacing w:line="240" w:lineRule="auto"/>
        <w:ind w:left="426" w:hanging="426"/>
        <w:jc w:val="both"/>
        <w:rPr>
          <w:rFonts w:ascii="Arial" w:hAnsi="Arial" w:cs="Arial"/>
          <w:lang w:eastAsia="pl-PL"/>
        </w:rPr>
      </w:pPr>
      <w:r w:rsidRPr="00B25119">
        <w:rPr>
          <w:rFonts w:ascii="Arial" w:hAnsi="Arial" w:cs="Arial"/>
          <w:lang w:eastAsia="pl-PL"/>
        </w:rPr>
        <w:t>12.</w:t>
      </w:r>
      <w:r w:rsidRPr="00B25119">
        <w:rPr>
          <w:rFonts w:ascii="Arial" w:hAnsi="Arial" w:cs="Arial"/>
          <w:lang w:eastAsia="pl-PL"/>
        </w:rPr>
        <w:tab/>
      </w:r>
      <w:r w:rsidRPr="00B25119">
        <w:rPr>
          <w:rFonts w:ascii="Arial" w:hAnsi="Arial" w:cs="Arial"/>
        </w:rPr>
        <w:t xml:space="preserve">Wykonawca dokumentacji zobowiązuje się, w ramach zgłoszonej </w:t>
      </w:r>
      <w:r w:rsidR="00BA030A">
        <w:rPr>
          <w:rFonts w:ascii="Arial" w:hAnsi="Arial" w:cs="Arial"/>
        </w:rPr>
        <w:t>kwoty ofertowej do jednokrotnej</w:t>
      </w:r>
      <w:r w:rsidR="00B25119">
        <w:rPr>
          <w:rFonts w:ascii="Arial" w:hAnsi="Arial" w:cs="Arial"/>
        </w:rPr>
        <w:t xml:space="preserve"> </w:t>
      </w:r>
      <w:r w:rsidRPr="00B25119">
        <w:rPr>
          <w:rFonts w:ascii="Arial" w:hAnsi="Arial" w:cs="Arial"/>
        </w:rPr>
        <w:t>aktualizacji cenowej kosztorysów inwestorskich w</w:t>
      </w:r>
      <w:r w:rsidR="00B25119">
        <w:rPr>
          <w:rFonts w:ascii="Arial" w:hAnsi="Arial" w:cs="Arial"/>
        </w:rPr>
        <w:t xml:space="preserve"> okresie ważności uzyskanych decyzji </w:t>
      </w:r>
      <w:r w:rsidR="007B13C2">
        <w:rPr>
          <w:rFonts w:ascii="Arial" w:hAnsi="Arial" w:cs="Arial"/>
        </w:rPr>
        <w:t>administracyjnych</w:t>
      </w:r>
      <w:r w:rsidR="00B25119">
        <w:rPr>
          <w:rFonts w:ascii="Arial" w:hAnsi="Arial" w:cs="Arial"/>
        </w:rPr>
        <w:t>.</w:t>
      </w:r>
    </w:p>
    <w:p w:rsidR="00707C02" w:rsidRPr="00B25119" w:rsidRDefault="00707C02" w:rsidP="00B05C77">
      <w:pPr>
        <w:spacing w:line="240" w:lineRule="auto"/>
        <w:ind w:left="426" w:hanging="426"/>
        <w:jc w:val="both"/>
        <w:rPr>
          <w:rFonts w:ascii="Arial" w:hAnsi="Arial" w:cs="Arial"/>
        </w:rPr>
      </w:pPr>
      <w:r w:rsidRPr="00B25119">
        <w:rPr>
          <w:rFonts w:ascii="Arial" w:hAnsi="Arial" w:cs="Arial"/>
        </w:rPr>
        <w:t>13.</w:t>
      </w:r>
      <w:r w:rsidRPr="00B25119">
        <w:rPr>
          <w:rFonts w:ascii="Arial" w:hAnsi="Arial" w:cs="Arial"/>
        </w:rPr>
        <w:tab/>
        <w:t xml:space="preserve">Wykonawca zobowiązany jest, w ramach kwoty wynagrodzenia umownego, do udzielania szczegółowych i wyczerpujących, pisemnych wyjaśnień i odpowiedzi na pytania i wnioski dotyczące opracowanej w ramach niniejszej umowy dokumentacji technicznej, jakie mogą być składane przez oferentów uczestniczących w postępowaniu przetargowym na wykonanie robót budowlanych oraz przygotowanie ewentualnych modyfikacji dokumentacji projektowej wynikających z tych pytań i udzielonych odpowiedzi – </w:t>
      </w:r>
      <w:r w:rsidRPr="00B25119">
        <w:rPr>
          <w:rFonts w:ascii="Arial" w:hAnsi="Arial" w:cs="Arial"/>
          <w:u w:val="single"/>
        </w:rPr>
        <w:t>w terminach wyznaczonych przez zamaw</w:t>
      </w:r>
      <w:r w:rsidR="00B25119" w:rsidRPr="00B25119">
        <w:rPr>
          <w:rFonts w:ascii="Arial" w:hAnsi="Arial" w:cs="Arial"/>
          <w:u w:val="single"/>
        </w:rPr>
        <w:t>iającego, ale nie dłuższym niż 3</w:t>
      </w:r>
      <w:r w:rsidRPr="00B25119">
        <w:rPr>
          <w:rFonts w:ascii="Arial" w:hAnsi="Arial" w:cs="Arial"/>
          <w:u w:val="single"/>
        </w:rPr>
        <w:t> dni robocze.</w:t>
      </w:r>
    </w:p>
    <w:p w:rsidR="00707C02" w:rsidRPr="00B25119" w:rsidRDefault="00707C02" w:rsidP="00B05C77">
      <w:pPr>
        <w:pStyle w:val="Akapitzlist"/>
        <w:widowControl/>
        <w:numPr>
          <w:ilvl w:val="0"/>
          <w:numId w:val="2"/>
        </w:numPr>
        <w:suppressAutoHyphens w:val="0"/>
        <w:ind w:left="426" w:hanging="426"/>
        <w:jc w:val="both"/>
        <w:rPr>
          <w:rFonts w:ascii="Arial" w:hAnsi="Arial" w:cs="Arial"/>
          <w:sz w:val="22"/>
          <w:szCs w:val="22"/>
        </w:rPr>
      </w:pPr>
      <w:r w:rsidRPr="00B25119">
        <w:rPr>
          <w:rFonts w:ascii="Arial" w:hAnsi="Arial" w:cs="Arial"/>
          <w:sz w:val="22"/>
          <w:szCs w:val="22"/>
        </w:rPr>
        <w:t>Wszystkie niezbędne materiały do przygotowania dokumentacji technicznej, a póź</w:t>
      </w:r>
      <w:r w:rsidR="00B25119">
        <w:rPr>
          <w:rFonts w:ascii="Arial" w:hAnsi="Arial" w:cs="Arial"/>
          <w:sz w:val="22"/>
          <w:szCs w:val="22"/>
        </w:rPr>
        <w:t xml:space="preserve">niej do uzyskania decyzji administracyjnych pozwalających na realizacje </w:t>
      </w:r>
      <w:r w:rsidRPr="00B25119">
        <w:rPr>
          <w:rStyle w:val="markedcontent"/>
          <w:rFonts w:ascii="Arial" w:hAnsi="Arial" w:cs="Arial"/>
          <w:sz w:val="22"/>
          <w:szCs w:val="22"/>
        </w:rPr>
        <w:t>robót budowlanych,</w:t>
      </w:r>
      <w:r w:rsidRPr="00B25119">
        <w:rPr>
          <w:rFonts w:ascii="Arial" w:hAnsi="Arial" w:cs="Arial"/>
          <w:sz w:val="22"/>
          <w:szCs w:val="22"/>
        </w:rPr>
        <w:t xml:space="preserve"> Wykonawca pozyska własnym kosztem i staraniem w zakresie zleconego zadania.</w:t>
      </w:r>
    </w:p>
    <w:p w:rsidR="00707C02" w:rsidRPr="00B25119" w:rsidRDefault="00707C02" w:rsidP="00B05C77">
      <w:pPr>
        <w:numPr>
          <w:ilvl w:val="0"/>
          <w:numId w:val="2"/>
        </w:numPr>
        <w:spacing w:after="0" w:line="240" w:lineRule="auto"/>
        <w:ind w:left="426" w:hanging="426"/>
        <w:jc w:val="both"/>
        <w:rPr>
          <w:rFonts w:ascii="Arial" w:hAnsi="Arial" w:cs="Arial"/>
          <w:color w:val="FF0000"/>
        </w:rPr>
      </w:pPr>
      <w:r w:rsidRPr="00B25119">
        <w:rPr>
          <w:rFonts w:ascii="Arial" w:hAnsi="Arial" w:cs="Arial"/>
        </w:rPr>
        <w:t>Projekty muszą uwzględniać stan prawny na dzień przekazania dokumentacji Zamawiającemu.</w:t>
      </w:r>
    </w:p>
    <w:p w:rsidR="00707C02" w:rsidRPr="00B25119" w:rsidRDefault="00707C02" w:rsidP="00B05C77">
      <w:pPr>
        <w:numPr>
          <w:ilvl w:val="0"/>
          <w:numId w:val="2"/>
        </w:numPr>
        <w:spacing w:after="0" w:line="240" w:lineRule="auto"/>
        <w:ind w:left="426" w:hanging="426"/>
        <w:jc w:val="both"/>
        <w:rPr>
          <w:rFonts w:ascii="Arial" w:hAnsi="Arial" w:cs="Arial"/>
          <w:color w:val="FF0000"/>
        </w:rPr>
      </w:pPr>
      <w:r w:rsidRPr="00B25119">
        <w:rPr>
          <w:rFonts w:ascii="Arial" w:hAnsi="Arial" w:cs="Arial"/>
        </w:rPr>
        <w:t xml:space="preserve">Wykonawca zobowiązany jest, w ramach kwoty wynagrodzenia umownego, do sprawowania nadzoru autorskiego w pełnym zakresie w trakcie realizacji prac objętych projektem </w:t>
      </w:r>
      <w:r w:rsidR="00B25119">
        <w:rPr>
          <w:rFonts w:ascii="Arial" w:hAnsi="Arial" w:cs="Arial"/>
          <w:u w:val="single"/>
        </w:rPr>
        <w:t>(należy uwzględnić 8 wizyt na budowie)</w:t>
      </w:r>
      <w:r w:rsidRPr="00B25119">
        <w:rPr>
          <w:rFonts w:ascii="Arial" w:hAnsi="Arial" w:cs="Arial"/>
          <w:u w:val="single"/>
        </w:rPr>
        <w:t>.</w:t>
      </w:r>
    </w:p>
    <w:p w:rsidR="00707C02" w:rsidRPr="00B25119" w:rsidRDefault="00707C02" w:rsidP="00B05C77">
      <w:pPr>
        <w:numPr>
          <w:ilvl w:val="0"/>
          <w:numId w:val="2"/>
        </w:numPr>
        <w:spacing w:after="0" w:line="240" w:lineRule="auto"/>
        <w:ind w:left="426" w:hanging="426"/>
        <w:jc w:val="both"/>
        <w:rPr>
          <w:rFonts w:ascii="Arial" w:hAnsi="Arial" w:cs="Arial"/>
          <w:color w:val="FF0000"/>
          <w:u w:val="single"/>
        </w:rPr>
      </w:pPr>
      <w:r w:rsidRPr="00B25119">
        <w:rPr>
          <w:rFonts w:ascii="Arial" w:hAnsi="Arial" w:cs="Arial"/>
        </w:rPr>
        <w:t>Wykonawca powinien zwrócić w STWiORB szczególną uwagę na opis sposobu realizacji robót objętych projektem, warunków odbioru i innych istotnych elementów oraz wymagań mających wpływ na jakość prac i planowany do osiągnięcia efekt. Zamawiający nie dopuszcza w tym zakresie sformułowań lakonicznych czy też ogólnikowych i wymaga w tym zakresie określeń precyzyjnych.</w:t>
      </w:r>
    </w:p>
    <w:p w:rsidR="00707C02" w:rsidRPr="00B25119" w:rsidRDefault="00B25119" w:rsidP="00B05C77">
      <w:pPr>
        <w:numPr>
          <w:ilvl w:val="0"/>
          <w:numId w:val="2"/>
        </w:numPr>
        <w:spacing w:after="0" w:line="240" w:lineRule="auto"/>
        <w:ind w:left="426" w:hanging="426"/>
        <w:jc w:val="both"/>
        <w:rPr>
          <w:rFonts w:ascii="Arial" w:hAnsi="Arial" w:cs="Arial"/>
          <w:u w:val="single"/>
        </w:rPr>
      </w:pPr>
      <w:r>
        <w:rPr>
          <w:rFonts w:ascii="Arial" w:hAnsi="Arial" w:cs="Arial"/>
        </w:rPr>
        <w:t xml:space="preserve">Ze względu na charakter zamówienia dotyczący przestrzeni publicznej </w:t>
      </w:r>
      <w:r w:rsidR="00707C02" w:rsidRPr="00B25119">
        <w:rPr>
          <w:rFonts w:ascii="Arial" w:hAnsi="Arial" w:cs="Arial"/>
        </w:rPr>
        <w:t xml:space="preserve">Zamawiający przed dokonaniem wyceny oferty zaleca odbycie wizji lokalnej w terenie, którego prace projektowe mają dotyczyć. </w:t>
      </w:r>
    </w:p>
    <w:p w:rsidR="00707C02" w:rsidRPr="00B25119" w:rsidRDefault="00707C02" w:rsidP="00B05C77">
      <w:pPr>
        <w:numPr>
          <w:ilvl w:val="0"/>
          <w:numId w:val="2"/>
        </w:numPr>
        <w:spacing w:after="0" w:line="240" w:lineRule="auto"/>
        <w:ind w:left="426" w:hanging="426"/>
        <w:jc w:val="both"/>
        <w:rPr>
          <w:rFonts w:ascii="Arial" w:hAnsi="Arial" w:cs="Arial"/>
          <w:color w:val="FF0000"/>
        </w:rPr>
      </w:pPr>
      <w:r w:rsidRPr="00B25119">
        <w:rPr>
          <w:rFonts w:ascii="Arial" w:hAnsi="Arial" w:cs="Arial"/>
        </w:rPr>
        <w:t>Wykonawca (jednostka projektująca) odpowiedzialny jest za jakość, rzetelność, zgodność z obowiązującymi normami, wytycznymi i instrukcjami, ponadto ekonomikę zastosowanych rozwiązań technicznych.</w:t>
      </w:r>
    </w:p>
    <w:p w:rsidR="00707C02" w:rsidRPr="00B25119" w:rsidRDefault="00707C02" w:rsidP="00B05C77">
      <w:pPr>
        <w:widowControl w:val="0"/>
        <w:numPr>
          <w:ilvl w:val="0"/>
          <w:numId w:val="2"/>
        </w:numPr>
        <w:suppressAutoHyphens/>
        <w:spacing w:after="0" w:line="240" w:lineRule="auto"/>
        <w:ind w:left="426" w:hanging="426"/>
        <w:jc w:val="both"/>
        <w:rPr>
          <w:rFonts w:ascii="Arial" w:hAnsi="Arial" w:cs="Arial"/>
        </w:rPr>
      </w:pPr>
      <w:r w:rsidRPr="00B25119">
        <w:rPr>
          <w:rFonts w:ascii="Arial" w:hAnsi="Arial" w:cs="Arial"/>
        </w:rPr>
        <w:t>Wykonawca wykona i przekaże Zamawiającemu opracowania pr</w:t>
      </w:r>
      <w:r w:rsidR="00B25119">
        <w:rPr>
          <w:rFonts w:ascii="Arial" w:hAnsi="Arial" w:cs="Arial"/>
        </w:rPr>
        <w:t>ojektowe w następującej liczbie</w:t>
      </w:r>
      <w:r w:rsidRPr="00B25119">
        <w:rPr>
          <w:rFonts w:ascii="Arial" w:hAnsi="Arial" w:cs="Arial"/>
        </w:rPr>
        <w:t xml:space="preserve"> egzemplarzy:</w:t>
      </w:r>
    </w:p>
    <w:p w:rsidR="00707C02" w:rsidRPr="00B25119" w:rsidRDefault="009855F5" w:rsidP="00B05C77">
      <w:pPr>
        <w:widowControl w:val="0"/>
        <w:numPr>
          <w:ilvl w:val="0"/>
          <w:numId w:val="6"/>
        </w:numPr>
        <w:suppressAutoHyphens/>
        <w:autoSpaceDE w:val="0"/>
        <w:autoSpaceDN w:val="0"/>
        <w:adjustRightInd w:val="0"/>
        <w:spacing w:after="0" w:line="240" w:lineRule="auto"/>
        <w:ind w:left="426" w:hanging="426"/>
        <w:jc w:val="both"/>
        <w:rPr>
          <w:rFonts w:ascii="Arial" w:hAnsi="Arial" w:cs="Arial"/>
        </w:rPr>
      </w:pPr>
      <w:r>
        <w:rPr>
          <w:rFonts w:ascii="Arial" w:hAnsi="Arial" w:cs="Arial"/>
        </w:rPr>
        <w:t>opracowanie wstępne - 2</w:t>
      </w:r>
      <w:r w:rsidR="00707C02" w:rsidRPr="00B25119">
        <w:rPr>
          <w:rFonts w:ascii="Arial" w:hAnsi="Arial" w:cs="Arial"/>
        </w:rPr>
        <w:t xml:space="preserve"> kpl;</w:t>
      </w:r>
    </w:p>
    <w:p w:rsidR="00707C02" w:rsidRPr="00B25119" w:rsidRDefault="00707C02" w:rsidP="00B05C77">
      <w:pPr>
        <w:widowControl w:val="0"/>
        <w:numPr>
          <w:ilvl w:val="0"/>
          <w:numId w:val="6"/>
        </w:numPr>
        <w:suppressAutoHyphens/>
        <w:autoSpaceDE w:val="0"/>
        <w:autoSpaceDN w:val="0"/>
        <w:adjustRightInd w:val="0"/>
        <w:spacing w:after="0" w:line="240" w:lineRule="auto"/>
        <w:ind w:left="426" w:hanging="426"/>
        <w:jc w:val="both"/>
        <w:rPr>
          <w:rFonts w:ascii="Arial" w:hAnsi="Arial" w:cs="Arial"/>
        </w:rPr>
      </w:pPr>
      <w:r w:rsidRPr="00B25119">
        <w:rPr>
          <w:rFonts w:ascii="Arial" w:hAnsi="Arial" w:cs="Arial"/>
        </w:rPr>
        <w:t>mapę do celów projektowych – 1 kpl.</w:t>
      </w:r>
    </w:p>
    <w:p w:rsidR="00707C02" w:rsidRPr="00B25119" w:rsidRDefault="00707C02" w:rsidP="00B05C77">
      <w:pPr>
        <w:widowControl w:val="0"/>
        <w:numPr>
          <w:ilvl w:val="0"/>
          <w:numId w:val="6"/>
        </w:numPr>
        <w:suppressAutoHyphens/>
        <w:autoSpaceDE w:val="0"/>
        <w:autoSpaceDN w:val="0"/>
        <w:adjustRightInd w:val="0"/>
        <w:spacing w:after="0" w:line="240" w:lineRule="auto"/>
        <w:ind w:left="426" w:hanging="426"/>
        <w:jc w:val="both"/>
        <w:rPr>
          <w:rFonts w:ascii="Arial" w:hAnsi="Arial" w:cs="Arial"/>
        </w:rPr>
      </w:pPr>
      <w:r w:rsidRPr="00B25119">
        <w:rPr>
          <w:rFonts w:ascii="Arial" w:hAnsi="Arial" w:cs="Arial"/>
        </w:rPr>
        <w:t>projekty budowlano wykona</w:t>
      </w:r>
      <w:r w:rsidR="009855F5">
        <w:rPr>
          <w:rFonts w:ascii="Arial" w:hAnsi="Arial" w:cs="Arial"/>
        </w:rPr>
        <w:t>wcze poszczególnych branż – 3</w:t>
      </w:r>
      <w:r w:rsidRPr="00B25119">
        <w:rPr>
          <w:rFonts w:ascii="Arial" w:hAnsi="Arial" w:cs="Arial"/>
        </w:rPr>
        <w:t xml:space="preserve"> egz.</w:t>
      </w:r>
    </w:p>
    <w:p w:rsidR="00707C02" w:rsidRPr="00B25119" w:rsidRDefault="00707C02" w:rsidP="00B05C77">
      <w:pPr>
        <w:widowControl w:val="0"/>
        <w:numPr>
          <w:ilvl w:val="0"/>
          <w:numId w:val="6"/>
        </w:numPr>
        <w:suppressAutoHyphens/>
        <w:autoSpaceDE w:val="0"/>
        <w:autoSpaceDN w:val="0"/>
        <w:adjustRightInd w:val="0"/>
        <w:spacing w:after="0" w:line="240" w:lineRule="auto"/>
        <w:ind w:left="426" w:hanging="426"/>
        <w:jc w:val="both"/>
        <w:rPr>
          <w:rFonts w:ascii="Arial" w:hAnsi="Arial" w:cs="Arial"/>
        </w:rPr>
      </w:pPr>
      <w:r w:rsidRPr="00B25119">
        <w:rPr>
          <w:rFonts w:ascii="Arial" w:hAnsi="Arial" w:cs="Arial"/>
        </w:rPr>
        <w:t xml:space="preserve">przedmiary robót  </w:t>
      </w:r>
      <w:r w:rsidRPr="00B25119">
        <w:rPr>
          <w:rFonts w:ascii="Arial" w:hAnsi="Arial" w:cs="Arial"/>
          <w:bCs/>
          <w:u w:val="single"/>
        </w:rPr>
        <w:t xml:space="preserve">z podziałem na branże i ulice </w:t>
      </w:r>
      <w:r w:rsidR="009855F5">
        <w:rPr>
          <w:rFonts w:ascii="Arial" w:hAnsi="Arial" w:cs="Arial"/>
        </w:rPr>
        <w:t>–  3</w:t>
      </w:r>
      <w:r w:rsidRPr="00B25119">
        <w:rPr>
          <w:rFonts w:ascii="Arial" w:hAnsi="Arial" w:cs="Arial"/>
        </w:rPr>
        <w:t xml:space="preserve"> egz.; </w:t>
      </w:r>
    </w:p>
    <w:p w:rsidR="00B25119" w:rsidRDefault="00707C02" w:rsidP="00B05C77">
      <w:pPr>
        <w:widowControl w:val="0"/>
        <w:numPr>
          <w:ilvl w:val="0"/>
          <w:numId w:val="6"/>
        </w:numPr>
        <w:suppressAutoHyphens/>
        <w:autoSpaceDE w:val="0"/>
        <w:autoSpaceDN w:val="0"/>
        <w:adjustRightInd w:val="0"/>
        <w:spacing w:after="0" w:line="240" w:lineRule="auto"/>
        <w:ind w:left="426" w:hanging="426"/>
        <w:jc w:val="both"/>
        <w:rPr>
          <w:rFonts w:ascii="Arial" w:hAnsi="Arial" w:cs="Arial"/>
        </w:rPr>
      </w:pPr>
      <w:r w:rsidRPr="00B25119">
        <w:rPr>
          <w:rFonts w:ascii="Arial" w:hAnsi="Arial" w:cs="Arial"/>
        </w:rPr>
        <w:t xml:space="preserve">kosztorysy inwestorskie </w:t>
      </w:r>
      <w:r w:rsidR="00B25119" w:rsidRPr="00B25119">
        <w:rPr>
          <w:rFonts w:ascii="Arial" w:hAnsi="Arial" w:cs="Arial"/>
          <w:bCs/>
          <w:u w:val="single"/>
        </w:rPr>
        <w:t>z podziałem na branże</w:t>
      </w:r>
      <w:r w:rsidR="009855F5">
        <w:rPr>
          <w:rFonts w:ascii="Arial" w:hAnsi="Arial" w:cs="Arial"/>
        </w:rPr>
        <w:t xml:space="preserve"> –  3</w:t>
      </w:r>
      <w:r w:rsidR="00B25119">
        <w:rPr>
          <w:rFonts w:ascii="Arial" w:hAnsi="Arial" w:cs="Arial"/>
        </w:rPr>
        <w:t xml:space="preserve"> egz. </w:t>
      </w:r>
    </w:p>
    <w:p w:rsidR="00707C02" w:rsidRPr="00B25119" w:rsidRDefault="00707C02" w:rsidP="00B05C77">
      <w:pPr>
        <w:widowControl w:val="0"/>
        <w:numPr>
          <w:ilvl w:val="0"/>
          <w:numId w:val="6"/>
        </w:numPr>
        <w:suppressAutoHyphens/>
        <w:autoSpaceDE w:val="0"/>
        <w:autoSpaceDN w:val="0"/>
        <w:adjustRightInd w:val="0"/>
        <w:spacing w:after="0" w:line="240" w:lineRule="auto"/>
        <w:ind w:left="426" w:hanging="426"/>
        <w:jc w:val="both"/>
        <w:rPr>
          <w:rFonts w:ascii="Arial" w:hAnsi="Arial" w:cs="Arial"/>
        </w:rPr>
      </w:pPr>
      <w:r w:rsidRPr="00B25119">
        <w:rPr>
          <w:rFonts w:ascii="Arial" w:hAnsi="Arial" w:cs="Arial"/>
        </w:rPr>
        <w:t>specyfikacje techniczn</w:t>
      </w:r>
      <w:r w:rsidR="009855F5">
        <w:rPr>
          <w:rFonts w:ascii="Arial" w:hAnsi="Arial" w:cs="Arial"/>
        </w:rPr>
        <w:t>e wykonania i odbioru robót – 3</w:t>
      </w:r>
      <w:r w:rsidRPr="00B25119">
        <w:rPr>
          <w:rFonts w:ascii="Arial" w:hAnsi="Arial" w:cs="Arial"/>
        </w:rPr>
        <w:t xml:space="preserve"> 3 egz.</w:t>
      </w:r>
    </w:p>
    <w:p w:rsidR="00707C02" w:rsidRPr="00B25119" w:rsidRDefault="00707C02" w:rsidP="00B05C77">
      <w:pPr>
        <w:widowControl w:val="0"/>
        <w:numPr>
          <w:ilvl w:val="0"/>
          <w:numId w:val="6"/>
        </w:numPr>
        <w:suppressAutoHyphens/>
        <w:autoSpaceDE w:val="0"/>
        <w:autoSpaceDN w:val="0"/>
        <w:adjustRightInd w:val="0"/>
        <w:spacing w:after="0" w:line="240" w:lineRule="auto"/>
        <w:ind w:left="426" w:hanging="426"/>
        <w:jc w:val="both"/>
        <w:rPr>
          <w:rFonts w:ascii="Arial" w:hAnsi="Arial" w:cs="Arial"/>
        </w:rPr>
      </w:pPr>
      <w:r w:rsidRPr="00B25119">
        <w:rPr>
          <w:rFonts w:ascii="Arial" w:hAnsi="Arial" w:cs="Arial"/>
        </w:rPr>
        <w:t xml:space="preserve">wersję elektroniczną całości dokumentacji w formacie PDF </w:t>
      </w:r>
      <w:r w:rsidRPr="00B25119">
        <w:rPr>
          <w:rFonts w:ascii="Arial" w:hAnsi="Arial" w:cs="Arial"/>
          <w:b/>
        </w:rPr>
        <w:t>w plikach nie większych</w:t>
      </w:r>
      <w:r w:rsidRPr="00B25119">
        <w:rPr>
          <w:rFonts w:ascii="Arial" w:hAnsi="Arial" w:cs="Arial"/>
        </w:rPr>
        <w:t xml:space="preserve"> </w:t>
      </w:r>
      <w:r w:rsidRPr="00B25119">
        <w:rPr>
          <w:rFonts w:ascii="Arial" w:hAnsi="Arial" w:cs="Arial"/>
          <w:b/>
        </w:rPr>
        <w:t xml:space="preserve">niż 30 MB </w:t>
      </w:r>
      <w:r w:rsidR="009855F5">
        <w:rPr>
          <w:rFonts w:ascii="Arial" w:hAnsi="Arial" w:cs="Arial"/>
        </w:rPr>
        <w:t>- po 3</w:t>
      </w:r>
      <w:r w:rsidRPr="00B25119">
        <w:rPr>
          <w:rFonts w:ascii="Arial" w:hAnsi="Arial" w:cs="Arial"/>
        </w:rPr>
        <w:t xml:space="preserve"> egz.  (płyta CD dysk USB)</w:t>
      </w:r>
    </w:p>
    <w:p w:rsidR="00707C02" w:rsidRPr="00B25119" w:rsidRDefault="00707C02" w:rsidP="00B05C77">
      <w:pPr>
        <w:widowControl w:val="0"/>
        <w:numPr>
          <w:ilvl w:val="0"/>
          <w:numId w:val="6"/>
        </w:numPr>
        <w:suppressAutoHyphens/>
        <w:autoSpaceDE w:val="0"/>
        <w:autoSpaceDN w:val="0"/>
        <w:adjustRightInd w:val="0"/>
        <w:spacing w:after="0" w:line="240" w:lineRule="auto"/>
        <w:ind w:left="426" w:hanging="426"/>
        <w:jc w:val="both"/>
        <w:rPr>
          <w:rFonts w:ascii="Arial" w:hAnsi="Arial" w:cs="Arial"/>
        </w:rPr>
      </w:pPr>
      <w:r w:rsidRPr="00B25119">
        <w:rPr>
          <w:rFonts w:ascii="Arial" w:hAnsi="Arial" w:cs="Arial"/>
        </w:rPr>
        <w:t>format edytowalny całości dokumentacji (część graficzną – format DWG i opisową – format DOCX i/lub XLSX)), ko</w:t>
      </w:r>
      <w:r w:rsidR="009855F5">
        <w:rPr>
          <w:rFonts w:ascii="Arial" w:hAnsi="Arial" w:cs="Arial"/>
        </w:rPr>
        <w:t>sztorysów w Normie (ath.) - po 3</w:t>
      </w:r>
      <w:r w:rsidRPr="00B25119">
        <w:rPr>
          <w:rFonts w:ascii="Arial" w:hAnsi="Arial" w:cs="Arial"/>
        </w:rPr>
        <w:t xml:space="preserve"> egz.   </w:t>
      </w:r>
    </w:p>
    <w:p w:rsidR="00707C02" w:rsidRPr="00B25119" w:rsidRDefault="009855F5" w:rsidP="00B05C77">
      <w:pPr>
        <w:widowControl w:val="0"/>
        <w:numPr>
          <w:ilvl w:val="0"/>
          <w:numId w:val="6"/>
        </w:numPr>
        <w:suppressAutoHyphens/>
        <w:autoSpaceDE w:val="0"/>
        <w:autoSpaceDN w:val="0"/>
        <w:adjustRightInd w:val="0"/>
        <w:spacing w:after="0" w:line="240" w:lineRule="auto"/>
        <w:ind w:left="426" w:hanging="426"/>
        <w:jc w:val="both"/>
        <w:rPr>
          <w:rFonts w:ascii="Arial" w:hAnsi="Arial" w:cs="Arial"/>
        </w:rPr>
      </w:pPr>
      <w:r>
        <w:rPr>
          <w:rStyle w:val="markedcontent"/>
          <w:rFonts w:ascii="Arial" w:hAnsi="Arial" w:cs="Arial"/>
        </w:rPr>
        <w:t>decyzje, zgody, pozwolenia, uzgodnienia.</w:t>
      </w:r>
    </w:p>
    <w:p w:rsidR="00707C02" w:rsidRPr="00B25119" w:rsidRDefault="009855F5" w:rsidP="00B05C77">
      <w:pPr>
        <w:numPr>
          <w:ilvl w:val="0"/>
          <w:numId w:val="2"/>
        </w:numPr>
        <w:spacing w:after="0" w:line="240" w:lineRule="auto"/>
        <w:ind w:left="426" w:hanging="426"/>
        <w:jc w:val="both"/>
        <w:rPr>
          <w:rFonts w:ascii="Arial" w:hAnsi="Arial" w:cs="Arial"/>
        </w:rPr>
      </w:pPr>
      <w:r>
        <w:rPr>
          <w:rFonts w:ascii="Arial" w:hAnsi="Arial" w:cs="Arial"/>
        </w:rPr>
        <w:t>Koszty związane z wydrukiem</w:t>
      </w:r>
      <w:r w:rsidR="00707C02" w:rsidRPr="00B25119">
        <w:rPr>
          <w:rFonts w:ascii="Arial" w:hAnsi="Arial" w:cs="Arial"/>
        </w:rPr>
        <w:t xml:space="preserve"> dokumentacji projektowej </w:t>
      </w:r>
      <w:r>
        <w:rPr>
          <w:rFonts w:ascii="Arial" w:hAnsi="Arial" w:cs="Arial"/>
        </w:rPr>
        <w:t xml:space="preserve">i nagraniem na nośniki elektroniczne, oraz koszty tych nośników </w:t>
      </w:r>
      <w:r w:rsidR="00707C02" w:rsidRPr="00B25119">
        <w:rPr>
          <w:rFonts w:ascii="Arial" w:hAnsi="Arial" w:cs="Arial"/>
        </w:rPr>
        <w:t xml:space="preserve">pokrywa Wykonawca. Ilość egzemplarzy </w:t>
      </w:r>
      <w:r w:rsidR="00707C02" w:rsidRPr="00B25119">
        <w:rPr>
          <w:rFonts w:ascii="Arial" w:hAnsi="Arial" w:cs="Arial"/>
        </w:rPr>
        <w:lastRenderedPageBreak/>
        <w:t>dokumentacji do przekazania Zamawiającemu nie obejmuje ilości egzemplarzy przeznaczonej do uzgodnień i do uzyskania decyzji administracyjnych.</w:t>
      </w:r>
    </w:p>
    <w:p w:rsidR="00707C02" w:rsidRPr="00B25119" w:rsidRDefault="00707C02" w:rsidP="00B05C77">
      <w:pPr>
        <w:numPr>
          <w:ilvl w:val="0"/>
          <w:numId w:val="2"/>
        </w:numPr>
        <w:spacing w:after="0" w:line="240" w:lineRule="auto"/>
        <w:ind w:left="426" w:hanging="426"/>
        <w:jc w:val="both"/>
        <w:rPr>
          <w:rFonts w:ascii="Arial" w:hAnsi="Arial" w:cs="Arial"/>
        </w:rPr>
      </w:pPr>
      <w:r w:rsidRPr="00B25119">
        <w:rPr>
          <w:rFonts w:ascii="Arial" w:hAnsi="Arial" w:cs="Arial"/>
        </w:rPr>
        <w:t>Za pracę zakończoną i odebraną, Zamawiający uznaje dokumentację odebraną wg protokół zdawczo-odbiorczego odbioru końcowego.</w:t>
      </w:r>
    </w:p>
    <w:p w:rsidR="00707C02" w:rsidRPr="00B25119" w:rsidRDefault="00707C02" w:rsidP="00B05C77">
      <w:pPr>
        <w:widowControl w:val="0"/>
        <w:numPr>
          <w:ilvl w:val="0"/>
          <w:numId w:val="2"/>
        </w:numPr>
        <w:suppressAutoHyphens/>
        <w:spacing w:after="0" w:line="240" w:lineRule="auto"/>
        <w:ind w:left="426" w:hanging="426"/>
        <w:jc w:val="both"/>
        <w:rPr>
          <w:rFonts w:ascii="Arial" w:hAnsi="Arial" w:cs="Arial"/>
        </w:rPr>
      </w:pPr>
      <w:r w:rsidRPr="00B25119">
        <w:rPr>
          <w:rFonts w:ascii="Arial" w:hAnsi="Arial" w:cs="Arial"/>
        </w:rPr>
        <w:t xml:space="preserve">Wykonawca zobowiązany jest, działając z upoważnienia Prezydenta Miasta Tomaszowa Mazowieckiego, do uzyskania wszelkich niezbędnych decyzji, umów, opinii i uzgodnień  pozwalających na realizację </w:t>
      </w:r>
      <w:r w:rsidR="009855F5">
        <w:rPr>
          <w:rFonts w:ascii="Arial" w:hAnsi="Arial" w:cs="Arial"/>
        </w:rPr>
        <w:t>robót, dostaw i usług objętych projektem</w:t>
      </w:r>
      <w:r w:rsidRPr="00B25119">
        <w:rPr>
          <w:rFonts w:ascii="Arial" w:hAnsi="Arial" w:cs="Arial"/>
        </w:rPr>
        <w:t xml:space="preserve"> w zakresie zgodnym z przedmiotem zamówieni</w:t>
      </w:r>
      <w:r w:rsidR="009855F5">
        <w:rPr>
          <w:rFonts w:ascii="Arial" w:hAnsi="Arial" w:cs="Arial"/>
        </w:rPr>
        <w:t>a i wytycznymi Zamawiającego.</w:t>
      </w:r>
    </w:p>
    <w:p w:rsidR="00707C02" w:rsidRPr="00B25119" w:rsidRDefault="00707C02" w:rsidP="00B05C77">
      <w:pPr>
        <w:widowControl w:val="0"/>
        <w:numPr>
          <w:ilvl w:val="0"/>
          <w:numId w:val="2"/>
        </w:numPr>
        <w:suppressAutoHyphens/>
        <w:spacing w:after="0" w:line="240" w:lineRule="auto"/>
        <w:ind w:left="426" w:hanging="426"/>
        <w:jc w:val="both"/>
        <w:rPr>
          <w:rFonts w:ascii="Arial" w:hAnsi="Arial" w:cs="Arial"/>
        </w:rPr>
      </w:pPr>
      <w:r w:rsidRPr="00B25119">
        <w:rPr>
          <w:rFonts w:ascii="Arial" w:hAnsi="Arial" w:cs="Arial"/>
        </w:rPr>
        <w:t xml:space="preserve">Wykonawca przekaże Zamawiającemu wszystkie egzemplarze opracowań projektowych otrzymane od właściwych organów łącznie z ww. pozwoleniami, umowami i decyzjami. </w:t>
      </w:r>
    </w:p>
    <w:p w:rsidR="00707C02" w:rsidRPr="009855F5" w:rsidRDefault="00707C02" w:rsidP="00B05C77">
      <w:pPr>
        <w:widowControl w:val="0"/>
        <w:numPr>
          <w:ilvl w:val="0"/>
          <w:numId w:val="2"/>
        </w:numPr>
        <w:suppressAutoHyphens/>
        <w:spacing w:after="0" w:line="240" w:lineRule="auto"/>
        <w:ind w:left="426" w:hanging="426"/>
        <w:jc w:val="both"/>
        <w:rPr>
          <w:rFonts w:ascii="Arial" w:hAnsi="Arial" w:cs="Arial"/>
          <w:b/>
          <w:i/>
        </w:rPr>
      </w:pPr>
      <w:r w:rsidRPr="00B25119">
        <w:rPr>
          <w:rFonts w:ascii="Arial" w:hAnsi="Arial" w:cs="Arial"/>
        </w:rPr>
        <w:t>Wykonawca przekaże Zamawiającemu kopie wraz z kompletem załączników wszystkich wystąpień o wydanie decyzji administracyjnych</w:t>
      </w:r>
      <w:r w:rsidRPr="009855F5">
        <w:rPr>
          <w:rFonts w:ascii="Arial" w:hAnsi="Arial" w:cs="Arial"/>
        </w:rPr>
        <w:t xml:space="preserve">. </w:t>
      </w:r>
    </w:p>
    <w:p w:rsidR="00707C02" w:rsidRPr="00B25119" w:rsidRDefault="00707C02" w:rsidP="00B05C77">
      <w:pPr>
        <w:widowControl w:val="0"/>
        <w:numPr>
          <w:ilvl w:val="0"/>
          <w:numId w:val="2"/>
        </w:numPr>
        <w:suppressAutoHyphens/>
        <w:spacing w:after="0" w:line="240" w:lineRule="auto"/>
        <w:ind w:left="426" w:hanging="426"/>
        <w:jc w:val="both"/>
        <w:rPr>
          <w:rFonts w:ascii="Arial" w:hAnsi="Arial" w:cs="Arial"/>
        </w:rPr>
      </w:pPr>
      <w:r w:rsidRPr="00B25119">
        <w:rPr>
          <w:rFonts w:ascii="Arial" w:hAnsi="Arial" w:cs="Arial"/>
        </w:rPr>
        <w:t xml:space="preserve">Płatności będą następować w dwóch etapach: </w:t>
      </w:r>
    </w:p>
    <w:p w:rsidR="00707C02" w:rsidRPr="00B25119" w:rsidRDefault="00707C02" w:rsidP="00B05C77">
      <w:pPr>
        <w:widowControl w:val="0"/>
        <w:numPr>
          <w:ilvl w:val="0"/>
          <w:numId w:val="3"/>
        </w:numPr>
        <w:suppressAutoHyphens/>
        <w:spacing w:after="0" w:line="240" w:lineRule="auto"/>
        <w:ind w:left="426" w:hanging="426"/>
        <w:jc w:val="both"/>
        <w:rPr>
          <w:rFonts w:ascii="Arial" w:hAnsi="Arial" w:cs="Arial"/>
        </w:rPr>
      </w:pPr>
      <w:r w:rsidRPr="00B25119">
        <w:rPr>
          <w:rFonts w:ascii="Arial" w:hAnsi="Arial" w:cs="Arial"/>
        </w:rPr>
        <w:t xml:space="preserve">Etap I, który wykonawca zobowiązany jest wykonać do </w:t>
      </w:r>
      <w:r w:rsidR="009855F5">
        <w:rPr>
          <w:rFonts w:ascii="Arial" w:hAnsi="Arial" w:cs="Arial"/>
        </w:rPr>
        <w:t>16</w:t>
      </w:r>
      <w:r w:rsidRPr="00B25119">
        <w:rPr>
          <w:rFonts w:ascii="Arial" w:hAnsi="Arial" w:cs="Arial"/>
        </w:rPr>
        <w:t>.12.2022 r. – w wysokości do 60% wynagrodzenia umownego, po wykonaniu i przekazaniu zamawiającemu:</w:t>
      </w:r>
    </w:p>
    <w:p w:rsidR="00707C02" w:rsidRPr="00B25119" w:rsidRDefault="00707C02" w:rsidP="00B05C77">
      <w:pPr>
        <w:widowControl w:val="0"/>
        <w:numPr>
          <w:ilvl w:val="0"/>
          <w:numId w:val="4"/>
        </w:numPr>
        <w:suppressAutoHyphens/>
        <w:spacing w:after="0" w:line="240" w:lineRule="auto"/>
        <w:ind w:left="426" w:hanging="426"/>
        <w:jc w:val="both"/>
        <w:rPr>
          <w:rFonts w:ascii="Arial" w:hAnsi="Arial" w:cs="Arial"/>
        </w:rPr>
      </w:pPr>
      <w:r w:rsidRPr="00B25119">
        <w:rPr>
          <w:rFonts w:ascii="Arial" w:hAnsi="Arial" w:cs="Arial"/>
        </w:rPr>
        <w:t>mapy do celów projektowych w wersji papierowej,</w:t>
      </w:r>
    </w:p>
    <w:p w:rsidR="00707C02" w:rsidRPr="00B25119" w:rsidRDefault="00707C02" w:rsidP="00B05C77">
      <w:pPr>
        <w:widowControl w:val="0"/>
        <w:numPr>
          <w:ilvl w:val="0"/>
          <w:numId w:val="4"/>
        </w:numPr>
        <w:suppressAutoHyphens/>
        <w:spacing w:after="0" w:line="240" w:lineRule="auto"/>
        <w:ind w:left="426" w:hanging="426"/>
        <w:jc w:val="both"/>
        <w:rPr>
          <w:rFonts w:ascii="Arial" w:hAnsi="Arial" w:cs="Arial"/>
        </w:rPr>
      </w:pPr>
      <w:r w:rsidRPr="00B25119">
        <w:rPr>
          <w:rFonts w:ascii="Arial" w:hAnsi="Arial" w:cs="Arial"/>
        </w:rPr>
        <w:t>projektu wstępnego</w:t>
      </w:r>
      <w:r w:rsidR="009855F5">
        <w:rPr>
          <w:rFonts w:ascii="Arial" w:hAnsi="Arial" w:cs="Arial"/>
        </w:rPr>
        <w:t xml:space="preserve"> - koncepcyjnego</w:t>
      </w:r>
      <w:r w:rsidRPr="00B25119">
        <w:rPr>
          <w:rFonts w:ascii="Arial" w:hAnsi="Arial" w:cs="Arial"/>
        </w:rPr>
        <w:t>,</w:t>
      </w:r>
    </w:p>
    <w:p w:rsidR="00707C02" w:rsidRPr="00B25119" w:rsidRDefault="00707C02" w:rsidP="00B05C77">
      <w:pPr>
        <w:widowControl w:val="0"/>
        <w:numPr>
          <w:ilvl w:val="0"/>
          <w:numId w:val="4"/>
        </w:numPr>
        <w:suppressAutoHyphens/>
        <w:spacing w:after="0" w:line="240" w:lineRule="auto"/>
        <w:ind w:left="426" w:hanging="426"/>
        <w:jc w:val="both"/>
        <w:rPr>
          <w:rFonts w:ascii="Arial" w:hAnsi="Arial" w:cs="Arial"/>
        </w:rPr>
      </w:pPr>
      <w:r w:rsidRPr="00B25119">
        <w:rPr>
          <w:rFonts w:ascii="Arial" w:hAnsi="Arial" w:cs="Arial"/>
        </w:rPr>
        <w:t xml:space="preserve">projektu zagospodarowania terenu i BIOZ wraz z pozyskaniem decyzji i uzgodnień w zakresie niezbędnym do uzyskania decyzji administracyjnych umożliwiających rozpoczęcie robót budowlanych  </w:t>
      </w:r>
    </w:p>
    <w:p w:rsidR="00707C02" w:rsidRPr="00B25119" w:rsidRDefault="00707C02" w:rsidP="00B05C77">
      <w:pPr>
        <w:widowControl w:val="0"/>
        <w:numPr>
          <w:ilvl w:val="0"/>
          <w:numId w:val="3"/>
        </w:numPr>
        <w:suppressAutoHyphens/>
        <w:spacing w:after="0" w:line="240" w:lineRule="auto"/>
        <w:ind w:left="426" w:hanging="426"/>
        <w:jc w:val="both"/>
        <w:rPr>
          <w:rFonts w:ascii="Arial" w:hAnsi="Arial" w:cs="Arial"/>
          <w:color w:val="FF0000"/>
        </w:rPr>
      </w:pPr>
      <w:r w:rsidRPr="00B25119">
        <w:rPr>
          <w:rFonts w:ascii="Arial" w:hAnsi="Arial" w:cs="Arial"/>
        </w:rPr>
        <w:t xml:space="preserve">ETAP II, który wykonawca zobowiązany jest wykonać zgodnie końcowym terminem realizacji umowy – w wysokości do 40% wynagrodzenia umownego, po wykonaniu i przekazaniu zamawiającemu przedmiotu umowy wraz z </w:t>
      </w:r>
      <w:r w:rsidRPr="00B25119">
        <w:rPr>
          <w:rStyle w:val="markedcontent"/>
          <w:rFonts w:ascii="Arial" w:hAnsi="Arial" w:cs="Arial"/>
        </w:rPr>
        <w:t>decyzją o zezwoleniu na realizację inwestycji drogowej z rygorem natychmiastowej wykonalności oraz, jeżeli będą wymagane, innych decyzji administracyjnych umożliwiających rozpoczęcie robót budowlanych.</w:t>
      </w:r>
    </w:p>
    <w:p w:rsidR="00707C02" w:rsidRPr="00B25119" w:rsidRDefault="00707C02" w:rsidP="00B05C77">
      <w:pPr>
        <w:pStyle w:val="Akapitzlist"/>
        <w:numPr>
          <w:ilvl w:val="0"/>
          <w:numId w:val="5"/>
        </w:numPr>
        <w:ind w:left="426" w:hanging="426"/>
        <w:jc w:val="both"/>
        <w:rPr>
          <w:rFonts w:ascii="Arial" w:hAnsi="Arial" w:cs="Arial"/>
          <w:color w:val="FF0000"/>
          <w:sz w:val="22"/>
          <w:szCs w:val="22"/>
        </w:rPr>
      </w:pPr>
      <w:r w:rsidRPr="00B25119">
        <w:rPr>
          <w:rFonts w:ascii="Arial" w:hAnsi="Arial" w:cs="Arial"/>
          <w:sz w:val="22"/>
          <w:szCs w:val="22"/>
        </w:rPr>
        <w:t>Płatność dokonana zostanie w terminie nie dłuższym niż 30 dni od daty doręczenia kompletnej faktury, jednak nie później niż do 31 grudnia 2022 r w przypadku etapu I. W/w faktura zostanie doręczona Zamawiającemu do 20 grudnia 2021 r.</w:t>
      </w:r>
    </w:p>
    <w:p w:rsidR="00707C02" w:rsidRPr="00B25119" w:rsidRDefault="00707C02" w:rsidP="00B05C77">
      <w:pPr>
        <w:spacing w:line="240" w:lineRule="auto"/>
        <w:jc w:val="both"/>
        <w:rPr>
          <w:rFonts w:cstheme="minorHAnsi"/>
          <w:sz w:val="24"/>
          <w:szCs w:val="24"/>
        </w:rPr>
      </w:pPr>
    </w:p>
    <w:sectPr w:rsidR="00707C02" w:rsidRPr="00B25119" w:rsidSect="00707C02">
      <w:pgSz w:w="11906" w:h="16838"/>
      <w:pgMar w:top="709" w:right="1274"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74B5" w:rsidRDefault="009F74B5" w:rsidP="00513314">
      <w:pPr>
        <w:spacing w:after="0" w:line="240" w:lineRule="auto"/>
      </w:pPr>
      <w:r>
        <w:separator/>
      </w:r>
    </w:p>
  </w:endnote>
  <w:endnote w:type="continuationSeparator" w:id="0">
    <w:p w:rsidR="009F74B5" w:rsidRDefault="009F74B5" w:rsidP="005133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74B5" w:rsidRDefault="009F74B5" w:rsidP="00513314">
      <w:pPr>
        <w:spacing w:after="0" w:line="240" w:lineRule="auto"/>
      </w:pPr>
      <w:r>
        <w:separator/>
      </w:r>
    </w:p>
  </w:footnote>
  <w:footnote w:type="continuationSeparator" w:id="0">
    <w:p w:rsidR="009F74B5" w:rsidRDefault="009F74B5" w:rsidP="005133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E1105"/>
    <w:multiLevelType w:val="hybridMultilevel"/>
    <w:tmpl w:val="B9BE4CB2"/>
    <w:lvl w:ilvl="0" w:tplc="E7962480">
      <w:start w:val="1"/>
      <w:numFmt w:val="lowerLetter"/>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A313B47"/>
    <w:multiLevelType w:val="hybridMultilevel"/>
    <w:tmpl w:val="14FA38B6"/>
    <w:lvl w:ilvl="0" w:tplc="303856F2">
      <w:start w:val="1"/>
      <w:numFmt w:val="decimal"/>
      <w:lvlText w:val="%1."/>
      <w:lvlJc w:val="left"/>
      <w:pPr>
        <w:tabs>
          <w:tab w:val="num" w:pos="4860"/>
        </w:tabs>
        <w:ind w:left="4860" w:hanging="360"/>
      </w:pPr>
      <w:rPr>
        <w:rFonts w:eastAsia="Bookman Old Style" w:cs="Bookman Old Style" w:hint="default"/>
        <w:b w:val="0"/>
        <w:strike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CA4A2F46">
      <w:start w:val="1"/>
      <w:numFmt w:val="decimal"/>
      <w:lvlText w:val="%4."/>
      <w:lvlJc w:val="left"/>
      <w:pPr>
        <w:tabs>
          <w:tab w:val="num" w:pos="1920"/>
        </w:tabs>
        <w:ind w:left="1920" w:hanging="360"/>
      </w:pPr>
      <w:rPr>
        <w:color w:val="auto"/>
      </w:r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34F02452">
      <w:start w:val="1"/>
      <w:numFmt w:val="decimal"/>
      <w:lvlText w:val="%8)"/>
      <w:lvlJc w:val="left"/>
      <w:pPr>
        <w:tabs>
          <w:tab w:val="num" w:pos="6120"/>
        </w:tabs>
        <w:ind w:left="6120" w:hanging="720"/>
      </w:pPr>
      <w:rPr>
        <w:rFonts w:hint="default"/>
      </w:rPr>
    </w:lvl>
    <w:lvl w:ilvl="8" w:tplc="0415001B" w:tentative="1">
      <w:start w:val="1"/>
      <w:numFmt w:val="lowerRoman"/>
      <w:lvlText w:val="%9."/>
      <w:lvlJc w:val="right"/>
      <w:pPr>
        <w:tabs>
          <w:tab w:val="num" w:pos="6480"/>
        </w:tabs>
        <w:ind w:left="6480" w:hanging="180"/>
      </w:pPr>
    </w:lvl>
  </w:abstractNum>
  <w:abstractNum w:abstractNumId="2" w15:restartNumberingAfterBreak="0">
    <w:nsid w:val="15550C5A"/>
    <w:multiLevelType w:val="hybridMultilevel"/>
    <w:tmpl w:val="68FC240A"/>
    <w:lvl w:ilvl="0" w:tplc="F7D67838">
      <w:start w:val="6"/>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1D2F52E4"/>
    <w:multiLevelType w:val="hybridMultilevel"/>
    <w:tmpl w:val="CE2CF058"/>
    <w:lvl w:ilvl="0" w:tplc="53369648">
      <w:start w:val="1"/>
      <w:numFmt w:val="lowerLetter"/>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70224FE"/>
    <w:multiLevelType w:val="hybridMultilevel"/>
    <w:tmpl w:val="DA28CC1A"/>
    <w:lvl w:ilvl="0" w:tplc="E83CF83C">
      <w:start w:val="14"/>
      <w:numFmt w:val="decimal"/>
      <w:lvlText w:val="%1."/>
      <w:lvlJc w:val="left"/>
      <w:pPr>
        <w:ind w:left="2771" w:hanging="360"/>
      </w:pPr>
      <w:rPr>
        <w:rFonts w:hint="default"/>
        <w:b w:val="0"/>
        <w:i w:val="0"/>
        <w:color w:val="auto"/>
      </w:rPr>
    </w:lvl>
    <w:lvl w:ilvl="1" w:tplc="04150019">
      <w:start w:val="1"/>
      <w:numFmt w:val="lowerLetter"/>
      <w:lvlText w:val="%2."/>
      <w:lvlJc w:val="left"/>
      <w:pPr>
        <w:ind w:left="1222" w:hanging="360"/>
      </w:pPr>
    </w:lvl>
    <w:lvl w:ilvl="2" w:tplc="0415001B">
      <w:start w:val="1"/>
      <w:numFmt w:val="lowerRoman"/>
      <w:lvlText w:val="%3."/>
      <w:lvlJc w:val="right"/>
      <w:pPr>
        <w:ind w:left="1942" w:hanging="180"/>
      </w:pPr>
    </w:lvl>
    <w:lvl w:ilvl="3" w:tplc="0415000F">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5" w15:restartNumberingAfterBreak="0">
    <w:nsid w:val="2A182775"/>
    <w:multiLevelType w:val="hybridMultilevel"/>
    <w:tmpl w:val="C0E20F7A"/>
    <w:lvl w:ilvl="0" w:tplc="04150017">
      <w:start w:val="1"/>
      <w:numFmt w:val="lowerLetter"/>
      <w:lvlText w:val="%1)"/>
      <w:lvlJc w:val="left"/>
      <w:pPr>
        <w:tabs>
          <w:tab w:val="num" w:pos="786"/>
        </w:tabs>
        <w:ind w:left="786" w:hanging="360"/>
      </w:pPr>
      <w:rPr>
        <w:rFonts w:hint="default"/>
        <w:color w:val="auto"/>
      </w:rPr>
    </w:lvl>
    <w:lvl w:ilvl="1" w:tplc="04150003">
      <w:start w:val="1"/>
      <w:numFmt w:val="bullet"/>
      <w:lvlText w:val="o"/>
      <w:lvlJc w:val="left"/>
      <w:pPr>
        <w:tabs>
          <w:tab w:val="num" w:pos="1506"/>
        </w:tabs>
        <w:ind w:left="1506" w:hanging="360"/>
      </w:pPr>
      <w:rPr>
        <w:rFonts w:ascii="Courier New" w:hAnsi="Courier New" w:cs="Courier New" w:hint="default"/>
      </w:rPr>
    </w:lvl>
    <w:lvl w:ilvl="2" w:tplc="04150005" w:tentative="1">
      <w:start w:val="1"/>
      <w:numFmt w:val="bullet"/>
      <w:lvlText w:val=""/>
      <w:lvlJc w:val="left"/>
      <w:pPr>
        <w:tabs>
          <w:tab w:val="num" w:pos="2226"/>
        </w:tabs>
        <w:ind w:left="2226" w:hanging="360"/>
      </w:pPr>
      <w:rPr>
        <w:rFonts w:ascii="Wingdings" w:hAnsi="Wingdings" w:hint="default"/>
      </w:rPr>
    </w:lvl>
    <w:lvl w:ilvl="3" w:tplc="04150001" w:tentative="1">
      <w:start w:val="1"/>
      <w:numFmt w:val="bullet"/>
      <w:lvlText w:val=""/>
      <w:lvlJc w:val="left"/>
      <w:pPr>
        <w:tabs>
          <w:tab w:val="num" w:pos="2946"/>
        </w:tabs>
        <w:ind w:left="2946" w:hanging="360"/>
      </w:pPr>
      <w:rPr>
        <w:rFonts w:ascii="Symbol" w:hAnsi="Symbol" w:hint="default"/>
      </w:rPr>
    </w:lvl>
    <w:lvl w:ilvl="4" w:tplc="04150003" w:tentative="1">
      <w:start w:val="1"/>
      <w:numFmt w:val="bullet"/>
      <w:lvlText w:val="o"/>
      <w:lvlJc w:val="left"/>
      <w:pPr>
        <w:tabs>
          <w:tab w:val="num" w:pos="3666"/>
        </w:tabs>
        <w:ind w:left="3666" w:hanging="360"/>
      </w:pPr>
      <w:rPr>
        <w:rFonts w:ascii="Courier New" w:hAnsi="Courier New" w:cs="Courier New" w:hint="default"/>
      </w:rPr>
    </w:lvl>
    <w:lvl w:ilvl="5" w:tplc="04150005" w:tentative="1">
      <w:start w:val="1"/>
      <w:numFmt w:val="bullet"/>
      <w:lvlText w:val=""/>
      <w:lvlJc w:val="left"/>
      <w:pPr>
        <w:tabs>
          <w:tab w:val="num" w:pos="4386"/>
        </w:tabs>
        <w:ind w:left="4386" w:hanging="360"/>
      </w:pPr>
      <w:rPr>
        <w:rFonts w:ascii="Wingdings" w:hAnsi="Wingdings" w:hint="default"/>
      </w:rPr>
    </w:lvl>
    <w:lvl w:ilvl="6" w:tplc="04150001" w:tentative="1">
      <w:start w:val="1"/>
      <w:numFmt w:val="bullet"/>
      <w:lvlText w:val=""/>
      <w:lvlJc w:val="left"/>
      <w:pPr>
        <w:tabs>
          <w:tab w:val="num" w:pos="5106"/>
        </w:tabs>
        <w:ind w:left="5106" w:hanging="360"/>
      </w:pPr>
      <w:rPr>
        <w:rFonts w:ascii="Symbol" w:hAnsi="Symbol" w:hint="default"/>
      </w:rPr>
    </w:lvl>
    <w:lvl w:ilvl="7" w:tplc="04150003" w:tentative="1">
      <w:start w:val="1"/>
      <w:numFmt w:val="bullet"/>
      <w:lvlText w:val="o"/>
      <w:lvlJc w:val="left"/>
      <w:pPr>
        <w:tabs>
          <w:tab w:val="num" w:pos="5826"/>
        </w:tabs>
        <w:ind w:left="5826" w:hanging="360"/>
      </w:pPr>
      <w:rPr>
        <w:rFonts w:ascii="Courier New" w:hAnsi="Courier New" w:cs="Courier New" w:hint="default"/>
      </w:rPr>
    </w:lvl>
    <w:lvl w:ilvl="8" w:tplc="04150005" w:tentative="1">
      <w:start w:val="1"/>
      <w:numFmt w:val="bullet"/>
      <w:lvlText w:val=""/>
      <w:lvlJc w:val="left"/>
      <w:pPr>
        <w:tabs>
          <w:tab w:val="num" w:pos="6546"/>
        </w:tabs>
        <w:ind w:left="6546" w:hanging="360"/>
      </w:pPr>
      <w:rPr>
        <w:rFonts w:ascii="Wingdings" w:hAnsi="Wingdings" w:hint="default"/>
      </w:rPr>
    </w:lvl>
  </w:abstractNum>
  <w:abstractNum w:abstractNumId="6" w15:restartNumberingAfterBreak="0">
    <w:nsid w:val="3A1C0F97"/>
    <w:multiLevelType w:val="hybridMultilevel"/>
    <w:tmpl w:val="02CC9748"/>
    <w:lvl w:ilvl="0" w:tplc="293673EA">
      <w:start w:val="24"/>
      <w:numFmt w:val="decimal"/>
      <w:lvlText w:val="%1)"/>
      <w:lvlJc w:val="left"/>
      <w:pPr>
        <w:ind w:left="360" w:hanging="360"/>
      </w:pPr>
      <w:rPr>
        <w:rFonts w:hint="default"/>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5AE37FB7"/>
    <w:multiLevelType w:val="hybridMultilevel"/>
    <w:tmpl w:val="DB780342"/>
    <w:lvl w:ilvl="0" w:tplc="15F4770C">
      <w:start w:val="1"/>
      <w:numFmt w:val="bullet"/>
      <w:lvlText w:val="-"/>
      <w:lvlJc w:val="left"/>
      <w:pPr>
        <w:ind w:left="1080" w:hanging="360"/>
      </w:pPr>
      <w:rPr>
        <w:rFonts w:ascii="Times New Roman" w:hAnsi="Times New Roman" w:cs="Times New Roman" w:hint="default"/>
        <w:sz w:val="24"/>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num w:numId="1">
    <w:abstractNumId w:val="1"/>
  </w:num>
  <w:num w:numId="2">
    <w:abstractNumId w:val="4"/>
  </w:num>
  <w:num w:numId="3">
    <w:abstractNumId w:val="0"/>
  </w:num>
  <w:num w:numId="4">
    <w:abstractNumId w:val="7"/>
  </w:num>
  <w:num w:numId="5">
    <w:abstractNumId w:val="6"/>
  </w:num>
  <w:num w:numId="6">
    <w:abstractNumId w:val="5"/>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491C"/>
    <w:rsid w:val="001665EB"/>
    <w:rsid w:val="001F1595"/>
    <w:rsid w:val="0035491C"/>
    <w:rsid w:val="00382AFB"/>
    <w:rsid w:val="003E3BF0"/>
    <w:rsid w:val="00484790"/>
    <w:rsid w:val="004C5373"/>
    <w:rsid w:val="004F0B52"/>
    <w:rsid w:val="00513314"/>
    <w:rsid w:val="005E74B2"/>
    <w:rsid w:val="00642B42"/>
    <w:rsid w:val="00707C02"/>
    <w:rsid w:val="00795A0A"/>
    <w:rsid w:val="007B13C2"/>
    <w:rsid w:val="008730B4"/>
    <w:rsid w:val="008E2DAC"/>
    <w:rsid w:val="00905876"/>
    <w:rsid w:val="009855F5"/>
    <w:rsid w:val="009F74B5"/>
    <w:rsid w:val="00A21FA3"/>
    <w:rsid w:val="00B05C77"/>
    <w:rsid w:val="00B25119"/>
    <w:rsid w:val="00B84590"/>
    <w:rsid w:val="00BA030A"/>
    <w:rsid w:val="00BE14FD"/>
    <w:rsid w:val="00DD39E0"/>
    <w:rsid w:val="00EE06F2"/>
    <w:rsid w:val="00FB73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BAC785"/>
  <w15:chartTrackingRefBased/>
  <w15:docId w15:val="{D93ADF4B-0EB5-46E1-BC4D-3E2889E76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707C02"/>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Akapitzlist">
    <w:name w:val="List Paragraph"/>
    <w:aliases w:val="L1,Numerowanie,Akapit z listą5,normalny tekst,Akapit z list¹,List Paragraph,Akapit z listą BS,CW_Lista,Tabela,Wypunktowanie,RR PGE Akapit z listą,Styl 1"/>
    <w:basedOn w:val="Normalny"/>
    <w:link w:val="AkapitzlistZnak"/>
    <w:uiPriority w:val="34"/>
    <w:qFormat/>
    <w:rsid w:val="00707C02"/>
    <w:pPr>
      <w:widowControl w:val="0"/>
      <w:suppressAutoHyphens/>
      <w:spacing w:after="0" w:line="240" w:lineRule="auto"/>
      <w:ind w:left="720"/>
      <w:contextualSpacing/>
    </w:pPr>
    <w:rPr>
      <w:rFonts w:ascii="Times New Roman" w:eastAsia="Times New Roman" w:hAnsi="Times New Roman" w:cs="Times New Roman"/>
      <w:sz w:val="24"/>
      <w:szCs w:val="20"/>
    </w:rPr>
  </w:style>
  <w:style w:type="paragraph" w:customStyle="1" w:styleId="Normalny1">
    <w:name w:val="Normalny1"/>
    <w:basedOn w:val="Normalny"/>
    <w:rsid w:val="00707C02"/>
    <w:pPr>
      <w:suppressAutoHyphens/>
      <w:spacing w:after="0" w:line="240" w:lineRule="auto"/>
    </w:pPr>
    <w:rPr>
      <w:rFonts w:ascii="Times New Roman" w:eastAsia="Times New Roman" w:hAnsi="Times New Roman" w:cs="Times New Roman"/>
      <w:sz w:val="24"/>
      <w:szCs w:val="24"/>
      <w:lang w:eastAsia="ar-SA"/>
    </w:rPr>
  </w:style>
  <w:style w:type="character" w:customStyle="1" w:styleId="markedcontent">
    <w:name w:val="markedcontent"/>
    <w:basedOn w:val="Domylnaczcionkaakapitu"/>
    <w:rsid w:val="00707C02"/>
  </w:style>
  <w:style w:type="character" w:customStyle="1" w:styleId="AkapitzlistZnak">
    <w:name w:val="Akapit z listą Znak"/>
    <w:aliases w:val="L1 Znak,Numerowanie Znak,Akapit z listą5 Znak,normalny tekst Znak,Akapit z list¹ Znak,List Paragraph Znak,Akapit z listą BS Znak,CW_Lista Znak,Tabela Znak,Wypunktowanie Znak,RR PGE Akapit z listą Znak,Styl 1 Znak"/>
    <w:link w:val="Akapitzlist"/>
    <w:uiPriority w:val="34"/>
    <w:qFormat/>
    <w:rsid w:val="00707C02"/>
    <w:rPr>
      <w:rFonts w:ascii="Times New Roman" w:eastAsia="Times New Roman" w:hAnsi="Times New Roman" w:cs="Times New Roman"/>
      <w:sz w:val="24"/>
      <w:szCs w:val="20"/>
    </w:rPr>
  </w:style>
  <w:style w:type="paragraph" w:styleId="Tekstprzypisukocowego">
    <w:name w:val="endnote text"/>
    <w:basedOn w:val="Normalny"/>
    <w:link w:val="TekstprzypisukocowegoZnak"/>
    <w:uiPriority w:val="99"/>
    <w:semiHidden/>
    <w:unhideWhenUsed/>
    <w:rsid w:val="00513314"/>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513314"/>
    <w:rPr>
      <w:sz w:val="20"/>
      <w:szCs w:val="20"/>
    </w:rPr>
  </w:style>
  <w:style w:type="character" w:styleId="Odwoanieprzypisukocowego">
    <w:name w:val="endnote reference"/>
    <w:basedOn w:val="Domylnaczcionkaakapitu"/>
    <w:uiPriority w:val="99"/>
    <w:semiHidden/>
    <w:unhideWhenUsed/>
    <w:rsid w:val="0051331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079748">
      <w:bodyDiv w:val="1"/>
      <w:marLeft w:val="0"/>
      <w:marRight w:val="0"/>
      <w:marTop w:val="0"/>
      <w:marBottom w:val="0"/>
      <w:divBdr>
        <w:top w:val="none" w:sz="0" w:space="0" w:color="auto"/>
        <w:left w:val="none" w:sz="0" w:space="0" w:color="auto"/>
        <w:bottom w:val="none" w:sz="0" w:space="0" w:color="auto"/>
        <w:right w:val="none" w:sz="0" w:space="0" w:color="auto"/>
      </w:divBdr>
      <w:divsChild>
        <w:div w:id="1669096227">
          <w:marLeft w:val="0"/>
          <w:marRight w:val="0"/>
          <w:marTop w:val="0"/>
          <w:marBottom w:val="0"/>
          <w:divBdr>
            <w:top w:val="none" w:sz="0" w:space="0" w:color="auto"/>
            <w:left w:val="none" w:sz="0" w:space="0" w:color="auto"/>
            <w:bottom w:val="none" w:sz="0" w:space="0" w:color="auto"/>
            <w:right w:val="none" w:sz="0" w:space="0" w:color="auto"/>
          </w:divBdr>
        </w:div>
        <w:div w:id="1516460038">
          <w:marLeft w:val="0"/>
          <w:marRight w:val="0"/>
          <w:marTop w:val="0"/>
          <w:marBottom w:val="0"/>
          <w:divBdr>
            <w:top w:val="none" w:sz="0" w:space="0" w:color="auto"/>
            <w:left w:val="none" w:sz="0" w:space="0" w:color="auto"/>
            <w:bottom w:val="none" w:sz="0" w:space="0" w:color="auto"/>
            <w:right w:val="none" w:sz="0" w:space="0" w:color="auto"/>
          </w:divBdr>
        </w:div>
      </w:divsChild>
    </w:div>
    <w:div w:id="934703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p.lex.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5609EA-1C06-4C3C-BAE6-160C9E8B7B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1458</TotalTime>
  <Pages>9</Pages>
  <Words>4481</Words>
  <Characters>26892</Characters>
  <Application>Microsoft Office Word</Application>
  <DocSecurity>0</DocSecurity>
  <Lines>224</Lines>
  <Paragraphs>62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31311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Koziełek</dc:creator>
  <cp:keywords/>
  <dc:description/>
  <cp:lastModifiedBy>Adam Koziełek</cp:lastModifiedBy>
  <cp:revision>11</cp:revision>
  <dcterms:created xsi:type="dcterms:W3CDTF">2022-06-19T20:34:00Z</dcterms:created>
  <dcterms:modified xsi:type="dcterms:W3CDTF">2022-07-06T11:53:00Z</dcterms:modified>
</cp:coreProperties>
</file>