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E825EF">
        <w:rPr>
          <w:rFonts w:ascii="Calibri" w:hAnsi="Calibri" w:cs="Calibri"/>
          <w:sz w:val="24"/>
          <w:szCs w:val="24"/>
        </w:rPr>
        <w:t>21</w:t>
      </w:r>
      <w:r w:rsidR="006A6462">
        <w:rPr>
          <w:rFonts w:ascii="Calibri" w:hAnsi="Calibri" w:cs="Calibri"/>
          <w:sz w:val="24"/>
          <w:szCs w:val="24"/>
        </w:rPr>
        <w:t xml:space="preserve"> czerwca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E825EF">
        <w:rPr>
          <w:rFonts w:ascii="Calibri" w:hAnsi="Calibri" w:cs="Calibri"/>
          <w:b/>
          <w:i/>
          <w:sz w:val="24"/>
          <w:szCs w:val="24"/>
        </w:rPr>
        <w:t>39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6A6462">
        <w:t>2022/BZP 00</w:t>
      </w:r>
      <w:r w:rsidR="00E825EF">
        <w:t>215073</w:t>
      </w:r>
      <w:r w:rsidR="006A6462">
        <w:t>/01 z dnia 2022-06-</w:t>
      </w:r>
      <w:r w:rsidR="00E825EF">
        <w:t>20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E825EF"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i Grzegorza w Tomaszowie Mazowieckim w ramach zadania inwestycyjnego pn. Projekt i budowa ulic w osiedlu Ludwików – Etap II i III. 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BC0138">
        <w:rPr>
          <w:rFonts w:ascii="Calibri" w:hAnsi="Calibri" w:cs="Calibri"/>
          <w:b/>
          <w:sz w:val="24"/>
          <w:szCs w:val="24"/>
        </w:rPr>
        <w:t>2 192 148,27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6A6462" w:rsidRPr="00EF3F3E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274AF7"/>
    <w:rsid w:val="00335A08"/>
    <w:rsid w:val="004C5BE2"/>
    <w:rsid w:val="004E272A"/>
    <w:rsid w:val="006A6462"/>
    <w:rsid w:val="007F71E0"/>
    <w:rsid w:val="00A50C96"/>
    <w:rsid w:val="00BC0138"/>
    <w:rsid w:val="00E825EF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8</cp:revision>
  <dcterms:created xsi:type="dcterms:W3CDTF">2022-04-15T09:37:00Z</dcterms:created>
  <dcterms:modified xsi:type="dcterms:W3CDTF">2022-06-21T06:00:00Z</dcterms:modified>
</cp:coreProperties>
</file>