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F5C" w:rsidRDefault="00337B28" w:rsidP="00E21F5C">
      <w:pPr>
        <w:spacing w:after="0" w:line="276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 xml:space="preserve">Tomaszów </w:t>
      </w:r>
      <w:proofErr w:type="spellStart"/>
      <w:r>
        <w:rPr>
          <w:rFonts w:ascii="Cambria" w:eastAsia="Times New Roman" w:hAnsi="Cambria" w:cs="Tahoma"/>
          <w:lang w:eastAsia="pl-PL"/>
        </w:rPr>
        <w:t>Maz</w:t>
      </w:r>
      <w:proofErr w:type="spellEnd"/>
      <w:r>
        <w:rPr>
          <w:rFonts w:ascii="Cambria" w:eastAsia="Times New Roman" w:hAnsi="Cambria" w:cs="Tahoma"/>
          <w:lang w:eastAsia="pl-PL"/>
        </w:rPr>
        <w:t>., dn. 15.06.2022 r.</w:t>
      </w:r>
    </w:p>
    <w:p w:rsidR="00E21F5C" w:rsidRDefault="00E21F5C" w:rsidP="00E21F5C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E21F5C" w:rsidRPr="00E21F5C" w:rsidRDefault="00E21F5C" w:rsidP="00E21F5C">
      <w:pPr>
        <w:spacing w:after="0" w:line="276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21F5C">
        <w:rPr>
          <w:rFonts w:ascii="Cambria" w:eastAsia="Times New Roman" w:hAnsi="Cambria" w:cs="Tahoma"/>
          <w:b/>
          <w:lang w:eastAsia="pl-PL"/>
        </w:rPr>
        <w:t>PYTANIE WYKONAWCY WRAZ Z ODPOWIEDZIĄ</w:t>
      </w:r>
    </w:p>
    <w:p w:rsidR="00E21F5C" w:rsidRDefault="00E21F5C" w:rsidP="00E21F5C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E21F5C" w:rsidRPr="00E21F5C" w:rsidRDefault="00E21F5C" w:rsidP="00E21F5C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E21F5C" w:rsidRPr="00E21F5C" w:rsidRDefault="00E21F5C" w:rsidP="00E21F5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21F5C">
        <w:rPr>
          <w:rFonts w:ascii="Cambria" w:eastAsia="Times New Roman" w:hAnsi="Cambria" w:cs="Tahoma"/>
          <w:b/>
          <w:lang w:eastAsia="pl-PL"/>
        </w:rPr>
        <w:t>Numer postępowania: WRIK.271.1.31.2022.ZP</w:t>
      </w:r>
    </w:p>
    <w:p w:rsidR="00E21F5C" w:rsidRPr="00E21F5C" w:rsidRDefault="00E21F5C" w:rsidP="00E21F5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21F5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E21F5C">
        <w:rPr>
          <w:rFonts w:ascii="Cambria" w:eastAsia="Times New Roman" w:hAnsi="Cambria" w:cs="ArialMT"/>
          <w:b/>
          <w:lang w:eastAsia="pl-PL"/>
        </w:rPr>
        <w:t>2022/BZP 00195443/01 z dnia 2022-06-06</w:t>
      </w:r>
    </w:p>
    <w:p w:rsidR="00E21F5C" w:rsidRPr="00337B28" w:rsidRDefault="00E21F5C" w:rsidP="00E21F5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21F5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E21F5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E21F5C">
        <w:rPr>
          <w:rFonts w:ascii="Cambria" w:eastAsia="Times New Roman" w:hAnsi="Cambria" w:cs="CIDFont+F2"/>
          <w:b/>
          <w:lang w:eastAsia="pl-PL"/>
        </w:rPr>
        <w:t xml:space="preserve">: </w:t>
      </w:r>
      <w:r w:rsidRPr="00337B28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35c5d58e-5734-489e-9ad6-5ad2ab045193</w:t>
      </w:r>
    </w:p>
    <w:p w:rsidR="00E21F5C" w:rsidRPr="00E21F5C" w:rsidRDefault="00E21F5C" w:rsidP="00E21F5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E21F5C" w:rsidRPr="00E21F5C" w:rsidRDefault="00E21F5C" w:rsidP="00E21F5C">
      <w:pPr>
        <w:spacing w:after="0" w:line="240" w:lineRule="auto"/>
        <w:jc w:val="both"/>
        <w:rPr>
          <w:rFonts w:ascii="Cambria" w:hAnsi="Cambria"/>
          <w:b/>
          <w:color w:val="0070C0"/>
        </w:rPr>
      </w:pPr>
      <w:r w:rsidRPr="00E21F5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E21F5C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Pr="00E21F5C">
        <w:rPr>
          <w:rFonts w:ascii="Cambria" w:hAnsi="Cambria" w:cstheme="minorHAnsi"/>
          <w:b/>
          <w:bCs/>
          <w:color w:val="0070C0"/>
        </w:rPr>
        <w:t>w ramach zadania inwestycyjnego pn.</w:t>
      </w:r>
      <w:r w:rsidRPr="00E21F5C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Pr="00E21F5C">
        <w:rPr>
          <w:rFonts w:ascii="Cambria" w:hAnsi="Cambria" w:cstheme="minorHAnsi"/>
          <w:b/>
          <w:color w:val="0070C0"/>
          <w:lang w:eastAsia="pl-PL"/>
        </w:rPr>
        <w:t>.</w:t>
      </w:r>
    </w:p>
    <w:p w:rsidR="00E21F5C" w:rsidRDefault="00E21F5C" w:rsidP="00E21F5C">
      <w:pPr>
        <w:spacing w:after="0" w:line="240" w:lineRule="auto"/>
        <w:rPr>
          <w:rFonts w:ascii="Cambria" w:eastAsia="Calibri" w:hAnsi="Cambria" w:cs="Tahoma"/>
          <w:b/>
        </w:rPr>
      </w:pPr>
    </w:p>
    <w:p w:rsidR="00E21F5C" w:rsidRDefault="00E21F5C" w:rsidP="00E21F5C">
      <w:pPr>
        <w:spacing w:after="0" w:line="240" w:lineRule="auto"/>
        <w:jc w:val="center"/>
        <w:rPr>
          <w:rFonts w:ascii="Cambria" w:eastAsia="Calibri" w:hAnsi="Cambria" w:cs="Tahoma"/>
          <w:b/>
        </w:rPr>
      </w:pPr>
    </w:p>
    <w:p w:rsidR="00E21F5C" w:rsidRDefault="00E21F5C" w:rsidP="00E21F5C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E21F5C" w:rsidRDefault="00E21F5C" w:rsidP="00E21F5C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E21F5C" w:rsidRDefault="00E21F5C" w:rsidP="00E21F5C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337B28" w:rsidRPr="00337B28" w:rsidRDefault="00337B28" w:rsidP="00337B28">
      <w:pPr>
        <w:spacing w:line="276" w:lineRule="auto"/>
        <w:rPr>
          <w:rFonts w:ascii="Cambria" w:eastAsia="Calibri" w:hAnsi="Cambria" w:cs="Tahoma"/>
          <w:u w:val="single"/>
        </w:rPr>
      </w:pPr>
      <w:r w:rsidRPr="00337B28">
        <w:rPr>
          <w:rFonts w:ascii="Cambria" w:eastAsia="Calibri" w:hAnsi="Cambria" w:cs="Tahoma"/>
          <w:u w:val="single"/>
        </w:rPr>
        <w:t>Zestaw pytań nr 1 wraz z odpowiedziami:</w:t>
      </w:r>
    </w:p>
    <w:p w:rsidR="00337B28" w:rsidRPr="00337B28" w:rsidRDefault="00337B28" w:rsidP="00337B28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337B28">
        <w:rPr>
          <w:rFonts w:ascii="Cambria" w:eastAsia="Times New Roman" w:hAnsi="Cambria" w:cs="Arial"/>
          <w:lang w:eastAsia="pl-PL"/>
        </w:rPr>
        <w:t>1. Dlaczego projekty kanału technologicznego nie zostały uzgodnione na Naradzie Koordynacyjnej? Jeśli wystąpią kolizje z istniejącym uzbrojeniem, po czyjej stronie będą koszty rozwiązania tych kolizji?</w:t>
      </w:r>
    </w:p>
    <w:p w:rsidR="00337B28" w:rsidRDefault="00337B28" w:rsidP="00337B2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/>
          <w:bCs/>
          <w:color w:val="3598DB"/>
          <w:lang w:eastAsia="pl-PL"/>
        </w:rPr>
      </w:pPr>
      <w:r w:rsidRPr="00337B28">
        <w:rPr>
          <w:rFonts w:ascii="Cambria" w:eastAsia="Times New Roman" w:hAnsi="Cambria" w:cs="Times New Roman"/>
          <w:b/>
          <w:bCs/>
          <w:color w:val="3598DB"/>
          <w:lang w:eastAsia="pl-PL"/>
        </w:rPr>
        <w:t>Kanał technologiczny nie jest siecią w związku z czym obowiązujące przepisy nie nakazują uzgodnienia jego przebiegu na Naradzie Koordynacyjnej. Opracowanie projektowe nie narzuca konkretnych rzędnych posadowienia przewodów kanału technologicznego, a jedynie wskazuje zalecaną głębokość posadowienia z dopuszczalną odchyłką. Zgodnie z zapisami opisu technicznego pkt. 3. Rozwiązania sytuacyjno-wysokościowe po wykonaniu przekopów kontrolnych, w przypadku wystąpienia kolizji dopuszcza się korektę przebiegu kanału technologicznego. Powyższe zmiany nie generują zwiększonych kosztów.</w:t>
      </w:r>
    </w:p>
    <w:p w:rsidR="00337B28" w:rsidRPr="00337B28" w:rsidRDefault="00337B28" w:rsidP="00337B2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/>
          <w:bCs/>
          <w:color w:val="3598DB"/>
          <w:lang w:eastAsia="pl-PL"/>
        </w:rPr>
      </w:pPr>
      <w:r w:rsidRPr="00337B28">
        <w:rPr>
          <w:rFonts w:ascii="Cambria" w:eastAsia="Times New Roman" w:hAnsi="Cambria" w:cs="Arial"/>
          <w:lang w:eastAsia="pl-PL"/>
        </w:rPr>
        <w:br/>
        <w:t>2. Dlaczego na końcach kanału technologicznego i na załamaniach zastosowano studnie przelotowe, a nie zastosowano właściwych np. studni końcowych SKO2?</w:t>
      </w:r>
    </w:p>
    <w:p w:rsidR="00337B28" w:rsidRDefault="00337B28" w:rsidP="00337B2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/>
          <w:bCs/>
          <w:color w:val="3598DB"/>
          <w:lang w:eastAsia="pl-PL"/>
        </w:rPr>
      </w:pPr>
      <w:r w:rsidRPr="00337B28">
        <w:rPr>
          <w:rFonts w:ascii="Cambria" w:eastAsia="Times New Roman" w:hAnsi="Cambria" w:cs="Times New Roman"/>
          <w:b/>
          <w:bCs/>
          <w:color w:val="3598DB"/>
          <w:lang w:eastAsia="pl-PL"/>
        </w:rPr>
        <w:t>Kanał technologiczny uzbrojono we właściwe studnie rozdzielcze SKR1 zakładając możliwość dalszej rozbudowy kanalizacji technologicznej.</w:t>
      </w:r>
    </w:p>
    <w:p w:rsidR="00337B28" w:rsidRPr="00337B28" w:rsidRDefault="00337B28" w:rsidP="00337B2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37B28">
        <w:rPr>
          <w:rFonts w:ascii="Cambria" w:eastAsia="Times New Roman" w:hAnsi="Cambria" w:cs="Arial"/>
          <w:lang w:eastAsia="pl-PL"/>
        </w:rPr>
        <w:br/>
        <w:t>3. Dlaczego dla klasy drogi L nie zastosowano właściwego przekroju poprzecznego przez kanał technologiczny, właściwego dla tej klasy drogi?</w:t>
      </w:r>
    </w:p>
    <w:p w:rsidR="00337B28" w:rsidRDefault="00337B28" w:rsidP="00337B2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b/>
          <w:bCs/>
          <w:color w:val="3598DB"/>
          <w:lang w:eastAsia="pl-PL"/>
        </w:rPr>
      </w:pPr>
      <w:r w:rsidRPr="00337B28">
        <w:rPr>
          <w:rFonts w:ascii="Cambria" w:eastAsia="Times New Roman" w:hAnsi="Cambria" w:cs="Times New Roman"/>
          <w:b/>
          <w:bCs/>
          <w:color w:val="3598DB"/>
          <w:lang w:eastAsia="pl-PL"/>
        </w:rPr>
        <w:t>Zgodnie z obowiązującymi przepisami dla drogi gminnej klasy L w zabudowie jednorodzinnej zastosowano ciąg podstawowy KTu1.</w:t>
      </w:r>
    </w:p>
    <w:p w:rsidR="00337B28" w:rsidRPr="00337B28" w:rsidRDefault="00337B28" w:rsidP="00337B2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337B28">
        <w:rPr>
          <w:rFonts w:ascii="Cambria" w:eastAsia="Times New Roman" w:hAnsi="Cambria" w:cs="Arial"/>
          <w:lang w:eastAsia="pl-PL"/>
        </w:rPr>
        <w:lastRenderedPageBreak/>
        <w:br/>
        <w:t>5. Co oznacza pozycja nr 31 w przedmiarze dla ul. Ludowej: "Rozbiórka i odtworzenie istniejącej infrastruktury". Proszę o doprecyzowanie</w:t>
      </w:r>
    </w:p>
    <w:p w:rsidR="00337B28" w:rsidRPr="00337B28" w:rsidRDefault="00CC6BFD" w:rsidP="00CC6BFD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b/>
          <w:bCs/>
          <w:color w:val="3598DB"/>
          <w:lang w:eastAsia="pl-PL"/>
        </w:rPr>
        <w:t>W przedmiarze dla ul. Ludowej, nie należy wyceniać pozycji nr 31.</w:t>
      </w:r>
    </w:p>
    <w:p w:rsidR="00D16366" w:rsidRPr="00337B28" w:rsidRDefault="00337B28" w:rsidP="00337B28">
      <w:pPr>
        <w:jc w:val="both"/>
        <w:rPr>
          <w:rFonts w:ascii="Cambria" w:hAnsi="Cambria"/>
          <w:b/>
        </w:rPr>
      </w:pPr>
      <w:r w:rsidRPr="00337B28">
        <w:rPr>
          <w:rFonts w:ascii="Cambria" w:hAnsi="Cambria"/>
          <w:b/>
        </w:rPr>
        <w:t>Udzielone wyjaśnienia</w:t>
      </w:r>
      <w:bookmarkStart w:id="0" w:name="_GoBack"/>
      <w:bookmarkEnd w:id="0"/>
      <w:r w:rsidRPr="00337B28">
        <w:rPr>
          <w:rFonts w:ascii="Cambria" w:hAnsi="Cambria"/>
          <w:b/>
        </w:rPr>
        <w:t xml:space="preserve"> są wiążące dla wykonawców.</w:t>
      </w:r>
    </w:p>
    <w:sectPr w:rsidR="00D16366" w:rsidRPr="00337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762"/>
    <w:rsid w:val="00337B28"/>
    <w:rsid w:val="00800762"/>
    <w:rsid w:val="00AB1945"/>
    <w:rsid w:val="00CC6BFD"/>
    <w:rsid w:val="00D16366"/>
    <w:rsid w:val="00E2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D095"/>
  <w15:chartTrackingRefBased/>
  <w15:docId w15:val="{1BA3EB49-9FEA-42B9-8B0A-5063E0D8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1F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6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B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6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2022-06-15T07:03:00Z</cp:lastPrinted>
  <dcterms:created xsi:type="dcterms:W3CDTF">2022-06-13T11:53:00Z</dcterms:created>
  <dcterms:modified xsi:type="dcterms:W3CDTF">2022-06-15T07:04:00Z</dcterms:modified>
</cp:coreProperties>
</file>