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B5E" w:rsidRDefault="00ED2B5E" w:rsidP="00ED2B5E">
      <w:pPr>
        <w:spacing w:after="0"/>
        <w:jc w:val="right"/>
        <w:rPr>
          <w:rFonts w:ascii="Cambria" w:hAnsi="Cambria" w:cs="Tahoma"/>
          <w:b/>
          <w:sz w:val="24"/>
          <w:szCs w:val="24"/>
        </w:rPr>
      </w:pPr>
    </w:p>
    <w:p w:rsidR="004C15CC" w:rsidRDefault="004C15CC" w:rsidP="00ED2B5E">
      <w:pPr>
        <w:spacing w:after="0"/>
        <w:jc w:val="right"/>
        <w:rPr>
          <w:rFonts w:ascii="Cambria" w:hAnsi="Cambria" w:cs="Tahoma"/>
          <w:b/>
          <w:sz w:val="24"/>
          <w:szCs w:val="24"/>
        </w:rPr>
      </w:pPr>
      <w:r>
        <w:rPr>
          <w:rFonts w:ascii="Cambria" w:hAnsi="Cambria" w:cs="Tahoma"/>
          <w:b/>
          <w:sz w:val="24"/>
          <w:szCs w:val="24"/>
        </w:rPr>
        <w:t>DO WYKONAWCÓW</w:t>
      </w:r>
    </w:p>
    <w:p w:rsidR="004C15CC" w:rsidRPr="009C07E3" w:rsidRDefault="004C15CC" w:rsidP="00ED2B5E">
      <w:pPr>
        <w:spacing w:after="0"/>
        <w:jc w:val="right"/>
        <w:rPr>
          <w:rFonts w:ascii="Cambria" w:hAnsi="Cambria" w:cs="Tahoma"/>
          <w:b/>
          <w:sz w:val="24"/>
          <w:szCs w:val="24"/>
        </w:rPr>
      </w:pPr>
      <w:r>
        <w:rPr>
          <w:rFonts w:ascii="Cambria" w:hAnsi="Cambria" w:cs="Tahoma"/>
          <w:b/>
          <w:sz w:val="24"/>
          <w:szCs w:val="24"/>
        </w:rPr>
        <w:t>INFORMACJA DODATKOWA</w:t>
      </w:r>
    </w:p>
    <w:p w:rsidR="00ED2B5E" w:rsidRPr="003606B0" w:rsidRDefault="00ED2B5E" w:rsidP="00ED2B5E">
      <w:pPr>
        <w:spacing w:after="0" w:line="276" w:lineRule="auto"/>
        <w:rPr>
          <w:rFonts w:ascii="Cambria" w:eastAsia="Times New Roman" w:hAnsi="Cambria" w:cs="Tahoma"/>
          <w:sz w:val="18"/>
          <w:szCs w:val="18"/>
          <w:lang w:eastAsia="pl-PL"/>
        </w:rPr>
      </w:pPr>
    </w:p>
    <w:p w:rsidR="00ED2B5E" w:rsidRPr="003606B0" w:rsidRDefault="00ED2B5E" w:rsidP="00ED2B5E">
      <w:pPr>
        <w:spacing w:after="0" w:line="276" w:lineRule="auto"/>
        <w:rPr>
          <w:rFonts w:ascii="Cambria" w:eastAsia="Times New Roman" w:hAnsi="Cambria" w:cs="Tahoma"/>
          <w:lang w:eastAsia="pl-PL"/>
        </w:rPr>
      </w:pPr>
    </w:p>
    <w:p w:rsidR="00ED2B5E" w:rsidRPr="006D4A7A" w:rsidRDefault="00ED2B5E" w:rsidP="00ED2B5E">
      <w:pPr>
        <w:spacing w:after="0" w:line="276" w:lineRule="auto"/>
        <w:rPr>
          <w:rFonts w:ascii="Cambria" w:eastAsia="Times New Roman" w:hAnsi="Cambria" w:cs="Tahoma"/>
          <w:b/>
          <w:lang w:eastAsia="pl-PL"/>
        </w:rPr>
      </w:pPr>
      <w:r w:rsidRPr="006D4A7A">
        <w:rPr>
          <w:rFonts w:ascii="Cambria" w:eastAsia="Times New Roman" w:hAnsi="Cambria" w:cs="Tahoma"/>
          <w:b/>
          <w:lang w:eastAsia="pl-PL"/>
        </w:rPr>
        <w:t>Numer postępowania: WRIK.271.1.13.2022.ZP</w:t>
      </w:r>
    </w:p>
    <w:p w:rsidR="00ED2B5E" w:rsidRPr="006D4A7A" w:rsidRDefault="00ED2B5E" w:rsidP="00ED2B5E">
      <w:pPr>
        <w:spacing w:after="0" w:line="276" w:lineRule="auto"/>
        <w:rPr>
          <w:rFonts w:ascii="Cambria" w:eastAsia="Times New Roman" w:hAnsi="Cambria" w:cs="ArialMT"/>
          <w:b/>
          <w:lang w:eastAsia="pl-PL"/>
        </w:rPr>
      </w:pPr>
      <w:r w:rsidRPr="006D4A7A">
        <w:rPr>
          <w:rFonts w:ascii="Cambria" w:eastAsia="Times New Roman" w:hAnsi="Cambria" w:cs="Tahoma"/>
          <w:b/>
          <w:lang w:eastAsia="pl-PL"/>
        </w:rPr>
        <w:t xml:space="preserve">Ogłoszenie nr: </w:t>
      </w:r>
      <w:r w:rsidRPr="006D4A7A">
        <w:rPr>
          <w:rFonts w:ascii="Cambria" w:eastAsia="Times New Roman" w:hAnsi="Cambria" w:cs="ArialMT"/>
          <w:b/>
          <w:lang w:eastAsia="pl-PL"/>
        </w:rPr>
        <w:t>2022/BZP 00136210/01 z dnia 2022-04-27</w:t>
      </w:r>
    </w:p>
    <w:p w:rsidR="00ED2B5E" w:rsidRPr="006D4A7A" w:rsidRDefault="00ED2B5E" w:rsidP="00ED2B5E">
      <w:pPr>
        <w:spacing w:after="0" w:line="276" w:lineRule="auto"/>
        <w:jc w:val="both"/>
        <w:rPr>
          <w:rFonts w:ascii="Cambria" w:eastAsia="Times New Roman" w:hAnsi="Cambria" w:cs="Tahoma"/>
          <w:b/>
          <w:lang w:eastAsia="pl-PL"/>
        </w:rPr>
      </w:pPr>
      <w:r w:rsidRPr="006D4A7A">
        <w:rPr>
          <w:rFonts w:ascii="Cambria" w:eastAsia="Times New Roman" w:hAnsi="Cambria" w:cs="CIDFont+F2"/>
          <w:b/>
          <w:lang w:eastAsia="pl-PL"/>
        </w:rPr>
        <w:t xml:space="preserve">ID postępowania z </w:t>
      </w:r>
      <w:proofErr w:type="spellStart"/>
      <w:r w:rsidRPr="006D4A7A">
        <w:rPr>
          <w:rFonts w:ascii="Cambria" w:eastAsia="Times New Roman" w:hAnsi="Cambria" w:cs="CIDFont+F2"/>
          <w:b/>
          <w:lang w:eastAsia="pl-PL"/>
        </w:rPr>
        <w:t>miniPortalu</w:t>
      </w:r>
      <w:proofErr w:type="spellEnd"/>
      <w:r w:rsidRPr="006D4A7A">
        <w:rPr>
          <w:rFonts w:ascii="Cambria" w:eastAsia="Times New Roman" w:hAnsi="Cambria" w:cs="CIDFont+F2"/>
          <w:b/>
          <w:lang w:eastAsia="pl-PL"/>
        </w:rPr>
        <w:t xml:space="preserve">: </w:t>
      </w:r>
      <w:r w:rsidRPr="006D4A7A">
        <w:rPr>
          <w:rFonts w:ascii="Cambria" w:eastAsia="Times New Roman" w:hAnsi="Cambria" w:cs="Arial"/>
          <w:b/>
          <w:shd w:val="clear" w:color="auto" w:fill="FFFFFF"/>
          <w:lang w:eastAsia="pl-PL"/>
        </w:rPr>
        <w:t>fc4e763d-7f72-43bf-8139-8fede2d92cc5</w:t>
      </w:r>
    </w:p>
    <w:p w:rsidR="00ED2B5E" w:rsidRPr="006D4A7A" w:rsidRDefault="00ED2B5E" w:rsidP="00ED2B5E">
      <w:pPr>
        <w:spacing w:after="0" w:line="276" w:lineRule="auto"/>
        <w:rPr>
          <w:rFonts w:ascii="Cambria" w:eastAsia="Times New Roman" w:hAnsi="Cambria" w:cs="Tahoma"/>
          <w:b/>
          <w:highlight w:val="yellow"/>
          <w:lang w:eastAsia="pl-PL"/>
        </w:rPr>
      </w:pPr>
    </w:p>
    <w:p w:rsidR="00ED2B5E" w:rsidRPr="006D4A7A" w:rsidRDefault="00ED2B5E" w:rsidP="00ED2B5E">
      <w:pPr>
        <w:spacing w:after="0" w:line="240" w:lineRule="auto"/>
        <w:jc w:val="both"/>
        <w:rPr>
          <w:rFonts w:ascii="Cambria" w:hAnsi="Cambria" w:cs="Calibri"/>
          <w:b/>
          <w:color w:val="0070C0"/>
        </w:rPr>
      </w:pPr>
      <w:r w:rsidRPr="006D4A7A">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6D4A7A">
        <w:rPr>
          <w:rFonts w:ascii="Cambria" w:hAnsi="Cambria" w:cs="Calibri"/>
          <w:b/>
          <w:color w:val="0070C0"/>
        </w:rPr>
        <w:t>Rozbudowa, przebudowa i adaptacja dawnego Kinoteatru „Włókniarz” wraz z jego otoczeniem na cele kulturalne – aktualizacja dokumentacji technicznej.</w:t>
      </w:r>
    </w:p>
    <w:p w:rsidR="00E804FB" w:rsidRDefault="00E804FB"/>
    <w:p w:rsidR="004C15CC" w:rsidRDefault="004C15CC" w:rsidP="00335777">
      <w:pPr>
        <w:jc w:val="center"/>
        <w:rPr>
          <w:rFonts w:ascii="Cambria" w:hAnsi="Cambria"/>
          <w:b/>
        </w:rPr>
      </w:pPr>
      <w:r w:rsidRPr="004C15CC">
        <w:rPr>
          <w:rFonts w:ascii="Cambria" w:hAnsi="Cambria"/>
          <w:b/>
        </w:rPr>
        <w:t>INFORMACJA DODATKOWA –</w:t>
      </w:r>
      <w:r>
        <w:rPr>
          <w:rFonts w:ascii="Cambria" w:hAnsi="Cambria"/>
          <w:b/>
        </w:rPr>
        <w:t xml:space="preserve"> UZASADNIENIE</w:t>
      </w:r>
      <w:r w:rsidRPr="004C15CC">
        <w:rPr>
          <w:rFonts w:ascii="Cambria" w:hAnsi="Cambria"/>
          <w:b/>
        </w:rPr>
        <w:t xml:space="preserve"> DO PRZYZNANEJ PUNKTACJI W RAMACH KRYTERIÓW OCENY OFERT</w:t>
      </w:r>
    </w:p>
    <w:p w:rsidR="00335777" w:rsidRPr="00335777" w:rsidRDefault="00335777" w:rsidP="00335777">
      <w:pPr>
        <w:jc w:val="center"/>
        <w:rPr>
          <w:rFonts w:ascii="Cambria" w:hAnsi="Cambria"/>
          <w:b/>
        </w:rPr>
      </w:pPr>
    </w:p>
    <w:p w:rsidR="00ED134B" w:rsidRPr="004C15CC" w:rsidRDefault="003C17F7" w:rsidP="00335777">
      <w:pPr>
        <w:spacing w:after="120" w:line="240" w:lineRule="atLeast"/>
        <w:ind w:firstLine="709"/>
        <w:jc w:val="both"/>
        <w:rPr>
          <w:rFonts w:ascii="Cambria" w:hAnsi="Cambria"/>
        </w:rPr>
      </w:pPr>
      <w:r w:rsidRPr="004C15CC">
        <w:rPr>
          <w:rFonts w:ascii="Cambria" w:hAnsi="Cambria"/>
        </w:rPr>
        <w:t xml:space="preserve">W nawiązaniu do informacji o wyborze oferty </w:t>
      </w:r>
      <w:r w:rsidR="00A63B8A" w:rsidRPr="004C15CC">
        <w:rPr>
          <w:rFonts w:ascii="Cambria" w:hAnsi="Cambria"/>
        </w:rPr>
        <w:t>opublikowanej</w:t>
      </w:r>
      <w:r w:rsidRPr="004C15CC">
        <w:rPr>
          <w:rFonts w:ascii="Cambria" w:hAnsi="Cambria"/>
        </w:rPr>
        <w:t xml:space="preserve"> na stronie </w:t>
      </w:r>
      <w:r w:rsidR="00A63B8A" w:rsidRPr="004C15CC">
        <w:rPr>
          <w:rFonts w:ascii="Cambria" w:hAnsi="Cambria"/>
        </w:rPr>
        <w:t>internetowej</w:t>
      </w:r>
      <w:r w:rsidRPr="004C15CC">
        <w:rPr>
          <w:rFonts w:ascii="Cambria" w:hAnsi="Cambria"/>
        </w:rPr>
        <w:t xml:space="preserve"> prowadzonego postepowania, tj. BIP/</w:t>
      </w:r>
      <w:proofErr w:type="spellStart"/>
      <w:r w:rsidRPr="004C15CC">
        <w:rPr>
          <w:rFonts w:ascii="Cambria" w:hAnsi="Cambria"/>
        </w:rPr>
        <w:t>miniPortal</w:t>
      </w:r>
      <w:proofErr w:type="spellEnd"/>
      <w:r w:rsidRPr="004C15CC">
        <w:rPr>
          <w:rFonts w:ascii="Cambria" w:hAnsi="Cambria"/>
        </w:rPr>
        <w:t xml:space="preserve"> w dniu 09.06.2022 r., zamawiający przekazuje informację dodatkową w zakresie </w:t>
      </w:r>
      <w:r w:rsidR="00335777">
        <w:rPr>
          <w:rFonts w:ascii="Cambria" w:hAnsi="Cambria"/>
        </w:rPr>
        <w:t xml:space="preserve">wskazania </w:t>
      </w:r>
      <w:r w:rsidR="00A63B8A" w:rsidRPr="004C15CC">
        <w:rPr>
          <w:rFonts w:ascii="Cambria" w:hAnsi="Cambria"/>
        </w:rPr>
        <w:t>uzasadnienia do przyznanych punktów w ramach kryteriów oceny ofert w zakresie oferty wykonawcy AKINT Sp. z o.o. (oferta nr 1).</w:t>
      </w:r>
    </w:p>
    <w:p w:rsidR="00ED134B" w:rsidRPr="004C15CC" w:rsidRDefault="00ED134B" w:rsidP="004C15CC">
      <w:pPr>
        <w:spacing w:after="120" w:line="240" w:lineRule="atLeast"/>
        <w:ind w:firstLine="709"/>
        <w:jc w:val="both"/>
        <w:rPr>
          <w:rFonts w:ascii="Cambria" w:eastAsia="Times New Roman" w:hAnsi="Cambria" w:cs="Tahoma"/>
          <w:lang w:eastAsia="ar-SA"/>
        </w:rPr>
      </w:pPr>
      <w:r w:rsidRPr="004C15CC">
        <w:rPr>
          <w:rFonts w:ascii="Cambria" w:eastAsia="Times New Roman" w:hAnsi="Cambria" w:cs="Tahoma"/>
          <w:lang w:eastAsia="ar-SA"/>
        </w:rPr>
        <w:t>W ramach kryterium oceny ofert „D” – doświadczenie osoby</w:t>
      </w:r>
      <w:r w:rsidR="00F01184" w:rsidRPr="004C15CC">
        <w:rPr>
          <w:rFonts w:ascii="Cambria" w:eastAsia="Times New Roman" w:hAnsi="Cambria" w:cs="Tahoma"/>
          <w:lang w:eastAsia="ar-SA"/>
        </w:rPr>
        <w:t xml:space="preserve">, w ramach którego zastosowano cztery </w:t>
      </w:r>
      <w:proofErr w:type="spellStart"/>
      <w:r w:rsidR="00F01184" w:rsidRPr="004C15CC">
        <w:rPr>
          <w:rFonts w:ascii="Cambria" w:eastAsia="Times New Roman" w:hAnsi="Cambria" w:cs="Tahoma"/>
          <w:lang w:eastAsia="ar-SA"/>
        </w:rPr>
        <w:t>podkryteria</w:t>
      </w:r>
      <w:proofErr w:type="spellEnd"/>
      <w:r w:rsidRPr="004C15CC">
        <w:rPr>
          <w:rFonts w:ascii="Cambria" w:eastAsia="Times New Roman" w:hAnsi="Cambria" w:cs="Tahoma"/>
          <w:lang w:eastAsia="ar-SA"/>
        </w:rPr>
        <w:t xml:space="preserve">, </w:t>
      </w:r>
      <w:r w:rsidRPr="00335777">
        <w:rPr>
          <w:rFonts w:ascii="Cambria" w:eastAsia="Times New Roman" w:hAnsi="Cambria" w:cs="Tahoma"/>
          <w:u w:val="single"/>
          <w:lang w:eastAsia="ar-SA"/>
        </w:rPr>
        <w:t xml:space="preserve">wykonawca AKINT </w:t>
      </w:r>
      <w:r w:rsidR="000C6090" w:rsidRPr="00335777">
        <w:rPr>
          <w:rFonts w:ascii="Cambria" w:eastAsia="Times New Roman" w:hAnsi="Cambria" w:cs="Tahoma"/>
          <w:u w:val="single"/>
          <w:lang w:eastAsia="ar-SA"/>
        </w:rPr>
        <w:t xml:space="preserve">Sp. z o.o. </w:t>
      </w:r>
      <w:r w:rsidRPr="00335777">
        <w:rPr>
          <w:rFonts w:ascii="Cambria" w:eastAsia="Times New Roman" w:hAnsi="Cambria" w:cs="Tahoma"/>
          <w:u w:val="single"/>
          <w:lang w:eastAsia="ar-SA"/>
        </w:rPr>
        <w:t xml:space="preserve">nie </w:t>
      </w:r>
      <w:r w:rsidR="00F01184" w:rsidRPr="00335777">
        <w:rPr>
          <w:rFonts w:ascii="Cambria" w:eastAsia="Times New Roman" w:hAnsi="Cambria" w:cs="Tahoma"/>
          <w:u w:val="single"/>
          <w:lang w:eastAsia="ar-SA"/>
        </w:rPr>
        <w:t xml:space="preserve">wskazał </w:t>
      </w:r>
      <w:r w:rsidR="000C6090" w:rsidRPr="00335777">
        <w:rPr>
          <w:rFonts w:ascii="Cambria" w:eastAsia="Times New Roman" w:hAnsi="Cambria" w:cs="Tahoma"/>
          <w:u w:val="single"/>
          <w:lang w:eastAsia="ar-SA"/>
        </w:rPr>
        <w:t xml:space="preserve">w każdym </w:t>
      </w:r>
      <w:proofErr w:type="spellStart"/>
      <w:r w:rsidR="000C6090" w:rsidRPr="00335777">
        <w:rPr>
          <w:rFonts w:ascii="Cambria" w:eastAsia="Times New Roman" w:hAnsi="Cambria" w:cs="Tahoma"/>
          <w:u w:val="single"/>
          <w:lang w:eastAsia="ar-SA"/>
        </w:rPr>
        <w:t>podkryterium</w:t>
      </w:r>
      <w:proofErr w:type="spellEnd"/>
      <w:r w:rsidR="000C6090" w:rsidRPr="00335777">
        <w:rPr>
          <w:rFonts w:ascii="Cambria" w:eastAsia="Times New Roman" w:hAnsi="Cambria" w:cs="Tahoma"/>
          <w:u w:val="single"/>
          <w:lang w:eastAsia="ar-SA"/>
        </w:rPr>
        <w:t xml:space="preserve"> osoby</w:t>
      </w:r>
      <w:r w:rsidR="00F01184" w:rsidRPr="00335777">
        <w:rPr>
          <w:rFonts w:ascii="Cambria" w:eastAsia="Times New Roman" w:hAnsi="Cambria" w:cs="Tahoma"/>
          <w:u w:val="single"/>
          <w:lang w:eastAsia="ar-SA"/>
        </w:rPr>
        <w:t xml:space="preserve">, które </w:t>
      </w:r>
      <w:r w:rsidR="000C6090" w:rsidRPr="00335777">
        <w:rPr>
          <w:rFonts w:ascii="Cambria" w:eastAsia="Times New Roman" w:hAnsi="Cambria" w:cs="Tahoma"/>
          <w:u w:val="single"/>
          <w:lang w:eastAsia="ar-SA"/>
        </w:rPr>
        <w:t>będzie</w:t>
      </w:r>
      <w:r w:rsidR="00F01184" w:rsidRPr="00335777">
        <w:rPr>
          <w:rFonts w:ascii="Cambria" w:eastAsia="Times New Roman" w:hAnsi="Cambria" w:cs="Tahoma"/>
          <w:u w:val="single"/>
          <w:lang w:eastAsia="ar-SA"/>
        </w:rPr>
        <w:t xml:space="preserve"> </w:t>
      </w:r>
      <w:r w:rsidR="000C6090" w:rsidRPr="00335777">
        <w:rPr>
          <w:rFonts w:ascii="Cambria" w:eastAsia="Times New Roman" w:hAnsi="Cambria" w:cs="Tahoma"/>
          <w:u w:val="single"/>
          <w:lang w:eastAsia="ar-SA"/>
        </w:rPr>
        <w:t>wyznaczona</w:t>
      </w:r>
      <w:r w:rsidR="00F01184" w:rsidRPr="00335777">
        <w:rPr>
          <w:rFonts w:ascii="Cambria" w:eastAsia="Times New Roman" w:hAnsi="Cambria" w:cs="Tahoma"/>
          <w:u w:val="single"/>
          <w:lang w:eastAsia="ar-SA"/>
        </w:rPr>
        <w:t xml:space="preserve"> do </w:t>
      </w:r>
      <w:r w:rsidR="000C6090" w:rsidRPr="00335777">
        <w:rPr>
          <w:rFonts w:ascii="Cambria" w:eastAsia="Times New Roman" w:hAnsi="Cambria" w:cs="Tahoma"/>
          <w:u w:val="single"/>
          <w:lang w:eastAsia="ar-SA"/>
        </w:rPr>
        <w:t>realizacji zamówienia i która wykonała</w:t>
      </w:r>
      <w:r w:rsidR="00F01184" w:rsidRPr="00335777">
        <w:rPr>
          <w:rFonts w:ascii="Cambria" w:eastAsia="Times New Roman" w:hAnsi="Cambria" w:cs="Tahoma"/>
          <w:u w:val="single"/>
          <w:lang w:eastAsia="ar-SA"/>
        </w:rPr>
        <w:t xml:space="preserve"> wymagane przez zamawiającego świadczenia, wobec czego otrzymał „0” punktów.</w:t>
      </w:r>
    </w:p>
    <w:p w:rsidR="00F01184" w:rsidRPr="004C15CC" w:rsidRDefault="00ED134B" w:rsidP="004C15CC">
      <w:pPr>
        <w:widowControl w:val="0"/>
        <w:shd w:val="clear" w:color="auto" w:fill="FFFFFF"/>
        <w:spacing w:after="120" w:line="240" w:lineRule="atLeast"/>
        <w:ind w:firstLine="709"/>
        <w:jc w:val="both"/>
        <w:rPr>
          <w:rFonts w:ascii="Cambria" w:eastAsia="Times New Roman" w:hAnsi="Cambria" w:cs="Times New Roman"/>
          <w:lang w:eastAsia="pl-PL"/>
        </w:rPr>
      </w:pPr>
      <w:r w:rsidRPr="00A63B8A">
        <w:rPr>
          <w:rFonts w:ascii="Cambria" w:eastAsia="Times New Roman" w:hAnsi="Cambria" w:cs="Times New Roman"/>
          <w:lang w:eastAsia="pl-PL"/>
        </w:rPr>
        <w:t xml:space="preserve">W ust. 3 Formularza ofertowego w tabeli do wypełnienia przez wykonawcę, </w:t>
      </w:r>
      <w:r w:rsidRPr="00A63B8A">
        <w:rPr>
          <w:rFonts w:ascii="Cambria" w:eastAsia="Times New Roman" w:hAnsi="Cambria" w:cs="Times New Roman"/>
          <w:u w:val="single"/>
          <w:lang w:eastAsia="pl-PL"/>
        </w:rPr>
        <w:t>zamawiający wskazał każdorazowo pod każdym kryterium, że w przypadku kiedy wykonawca nie wypełni tabeli/pola lub nie wskaże osoby, która nie wykonała świadczenia – otrzyma w tym kryterium „0” pkt.</w:t>
      </w:r>
      <w:r w:rsidR="00F01184" w:rsidRPr="004C15CC">
        <w:rPr>
          <w:rFonts w:ascii="Cambria" w:eastAsia="Times New Roman" w:hAnsi="Cambria" w:cs="Times New Roman"/>
          <w:lang w:eastAsia="pl-PL"/>
        </w:rPr>
        <w:t xml:space="preserve"> </w:t>
      </w:r>
      <w:r w:rsidR="004C15CC" w:rsidRPr="004C15CC">
        <w:rPr>
          <w:rFonts w:ascii="Cambria" w:eastAsia="Times New Roman" w:hAnsi="Cambria" w:cs="Times New Roman"/>
          <w:lang w:eastAsia="pl-PL"/>
        </w:rPr>
        <w:t xml:space="preserve"> </w:t>
      </w:r>
      <w:r w:rsidRPr="00A63B8A">
        <w:rPr>
          <w:rFonts w:ascii="Cambria" w:eastAsia="Times New Roman" w:hAnsi="Cambria" w:cs="Times New Roman"/>
          <w:shd w:val="clear" w:color="auto" w:fill="FFFFFF"/>
          <w:lang w:eastAsia="ar-SA"/>
        </w:rPr>
        <w:t xml:space="preserve">Intencją zamawiającego, było uzyskanie w ramach kryteriów oceny informacji pozwalających mu na identyfikację kogo wyznacza wykonawca do realizacji zamówienia. Jednak brak informacji w tym zakresie nie stanowi podstawy do odrzucenia oferty, lecz do nie przyznania punktów w kryterium oceny ofert. </w:t>
      </w:r>
    </w:p>
    <w:p w:rsidR="00F01184" w:rsidRPr="004C15CC" w:rsidRDefault="004C15CC" w:rsidP="00335777">
      <w:pPr>
        <w:shd w:val="clear" w:color="auto" w:fill="FFFFFF"/>
        <w:spacing w:after="120" w:line="240" w:lineRule="atLeast"/>
        <w:ind w:firstLine="709"/>
        <w:jc w:val="both"/>
        <w:rPr>
          <w:rFonts w:ascii="Cambria" w:eastAsia="Times New Roman" w:hAnsi="Cambria" w:cs="Times New Roman"/>
          <w:lang w:eastAsia="pl-PL"/>
        </w:rPr>
      </w:pPr>
      <w:r w:rsidRPr="004C15CC">
        <w:rPr>
          <w:rFonts w:ascii="Cambria" w:eastAsia="Times New Roman" w:hAnsi="Cambria" w:cs="Times New Roman"/>
          <w:shd w:val="clear" w:color="auto" w:fill="FFFFFF"/>
          <w:lang w:eastAsia="ar-SA"/>
        </w:rPr>
        <w:t xml:space="preserve">W tym miejscu należy przytoczyć fragment wyroku Krajowej Izby Odwoławczej z 11.05.2018 r. (sygn. akt KIO 807/18), w którym wskazano, że „Nadto zważyć należy, że pozbawione oparcia w przepisach prawa, jak również w orzecznictwie, są twierdzenia Odwołującego, jakoby zmiana osoby powołanej na stanowisko kierownika budowy, której doświadczenie było punktowane w ramach kryteriów oceny ofert, stanowiłoby niedopuszczalną zmianę oferty. Jak wskazano powyżej, dopuszczalna jest zmiana osoby powołanej dla wykazania spełniania warunków udziału w postępowaniu, nie jest natomiast możliwe przyznanie w takiej sytuacji punktów za doświadczenie nowo powołanej osoby. Jest to zgodne z linią orzeczniczą KIO, która np. w powołanym przez Odwołującego wyroku z dnia 18 maja 2017 r., KIO 884/17 wskazała, że "W sprawie rozpatrywanej, o ile dopuszczalne było uwzględnienie kwalifikacji kolejnej osoby na potwierdzenie spełniania warunku udziału w postępowaniu (warunku podmiotowego), to brak jest podstaw do uznania wykazu doświadczenia tej osoby (Pana T.K.) w celu przyznania określonej liczby punktów z tytułu kryterium oceny ofert". Należy zauważyć, że Zamawiający w niniejszym postępowaniu przewidział właśnie taką sytuację, na co wskazuje zapis pkt XV.1.1.1 SIWZ, zgodnie z którym można zmienić osobę powołaną również dla wykazania </w:t>
      </w:r>
      <w:r w:rsidRPr="004C15CC">
        <w:rPr>
          <w:rFonts w:ascii="Cambria" w:eastAsia="Times New Roman" w:hAnsi="Cambria" w:cs="Times New Roman"/>
          <w:shd w:val="clear" w:color="auto" w:fill="FFFFFF"/>
          <w:lang w:eastAsia="ar-SA"/>
        </w:rPr>
        <w:lastRenderedPageBreak/>
        <w:t>spełnienia warunków udziału w postępowaniu - tj. kierownika budowy, ale zmiana taka skutkować będzie uzyskaniem 0 punktów w kryterium doświadczenie kierownika budowy. Zapis taki zapewnia równe traktowanie wykonawców, uniemożliwia bowiem przyznanie punktów za doświadczenie osoby, której wykonawca nie wskazał w ofercie w kształcie z chwili otwarcia ofert".</w:t>
      </w:r>
    </w:p>
    <w:p w:rsidR="00ED134B" w:rsidRPr="004C15CC" w:rsidRDefault="000C6090" w:rsidP="004C15CC">
      <w:pPr>
        <w:widowControl w:val="0"/>
        <w:shd w:val="clear" w:color="auto" w:fill="FFFFFF"/>
        <w:spacing w:after="120" w:line="240" w:lineRule="atLeast"/>
        <w:ind w:firstLine="709"/>
        <w:jc w:val="both"/>
        <w:rPr>
          <w:rFonts w:ascii="Cambria" w:eastAsia="Times New Roman" w:hAnsi="Cambria" w:cs="Times New Roman"/>
          <w:lang w:eastAsia="pl-PL"/>
        </w:rPr>
      </w:pPr>
      <w:r w:rsidRPr="004C15CC">
        <w:rPr>
          <w:rFonts w:ascii="Cambria" w:hAnsi="Cambria" w:cs="Tahoma"/>
        </w:rPr>
        <w:t xml:space="preserve">Zamawiający wskazuje, że </w:t>
      </w:r>
      <w:r w:rsidR="00F01184" w:rsidRPr="004C15CC">
        <w:rPr>
          <w:rFonts w:ascii="Cambria" w:hAnsi="Cambria" w:cs="Tahoma"/>
        </w:rPr>
        <w:t xml:space="preserve">odstąpił od </w:t>
      </w:r>
      <w:r w:rsidR="00F01184" w:rsidRPr="004C15CC">
        <w:rPr>
          <w:rFonts w:ascii="Cambria" w:hAnsi="Cambria" w:cs="Tahoma"/>
        </w:rPr>
        <w:t xml:space="preserve">wzywania wykonawców na podst. </w:t>
      </w:r>
      <w:r w:rsidR="00F01184" w:rsidRPr="004C15CC">
        <w:rPr>
          <w:rFonts w:ascii="Cambria" w:hAnsi="Cambria" w:cs="Tahoma"/>
        </w:rPr>
        <w:t xml:space="preserve">art. 223 ust. 1 </w:t>
      </w:r>
      <w:proofErr w:type="spellStart"/>
      <w:r w:rsidR="00F01184" w:rsidRPr="004C15CC">
        <w:rPr>
          <w:rFonts w:ascii="Cambria" w:hAnsi="Cambria" w:cs="Tahoma"/>
        </w:rPr>
        <w:t>pz</w:t>
      </w:r>
      <w:r w:rsidR="00335777">
        <w:rPr>
          <w:rFonts w:ascii="Cambria" w:hAnsi="Cambria" w:cs="Tahoma"/>
        </w:rPr>
        <w:t>p</w:t>
      </w:r>
      <w:proofErr w:type="spellEnd"/>
      <w:r w:rsidR="00335777">
        <w:rPr>
          <w:rFonts w:ascii="Cambria" w:hAnsi="Cambria" w:cs="Tahoma"/>
        </w:rPr>
        <w:t xml:space="preserve"> w zw. z  rozdziałem 22 ust. 7</w:t>
      </w:r>
      <w:r w:rsidR="00F01184" w:rsidRPr="004C15CC">
        <w:rPr>
          <w:rFonts w:ascii="Cambria" w:hAnsi="Cambria" w:cs="Tahoma"/>
        </w:rPr>
        <w:t xml:space="preserve"> SWZ a także zapisem formularza ofertowego  do złożenia wyjaśnień w zakresie ustanowionych kryteriów. </w:t>
      </w:r>
      <w:r w:rsidR="00F01184" w:rsidRPr="004C15CC">
        <w:rPr>
          <w:rFonts w:ascii="Cambria" w:hAnsi="Cambria" w:cs="TimesNewRomanPSMT"/>
          <w:lang w:eastAsia="pl-PL"/>
        </w:rPr>
        <w:t>Celem wyjaśnień treści złożonej oferty jest uzyskanie</w:t>
      </w:r>
      <w:r w:rsidR="00F01184" w:rsidRPr="004C15CC">
        <w:rPr>
          <w:rFonts w:ascii="Cambria" w:hAnsi="Cambria" w:cs="Tahoma"/>
        </w:rPr>
        <w:t xml:space="preserve"> </w:t>
      </w:r>
      <w:r w:rsidR="00F01184" w:rsidRPr="004C15CC">
        <w:rPr>
          <w:rFonts w:ascii="Cambria" w:hAnsi="Cambria" w:cs="TimesNewRomanPSMT"/>
          <w:lang w:eastAsia="pl-PL"/>
        </w:rPr>
        <w:t>jednoznacznych informacji dotyczących ca</w:t>
      </w:r>
      <w:r w:rsidR="00F01184" w:rsidRPr="004C15CC">
        <w:rPr>
          <w:rFonts w:ascii="Cambria" w:hAnsi="Cambria" w:cs="TimesNewRomanPSMT"/>
          <w:lang w:eastAsia="pl-PL"/>
        </w:rPr>
        <w:t xml:space="preserve">łości lub części oferty, które </w:t>
      </w:r>
      <w:r w:rsidR="00F01184" w:rsidRPr="004C15CC">
        <w:rPr>
          <w:rFonts w:ascii="Cambria" w:hAnsi="Cambria" w:cs="TimesNewRomanPSMT"/>
          <w:lang w:eastAsia="pl-PL"/>
        </w:rPr>
        <w:t xml:space="preserve">są nieprecyzyjne, niejasne, dwuznaczne, budzą wątpliwości interpretacyjne, tak aby możliwa była ocena, czy badana oferta w danym zakresie spełnia wymagania postawione przez zamawiającego. Uruchomienie procedury z art. 223 ust. 1 </w:t>
      </w:r>
      <w:proofErr w:type="spellStart"/>
      <w:r w:rsidR="00F01184" w:rsidRPr="004C15CC">
        <w:rPr>
          <w:rFonts w:ascii="Cambria" w:hAnsi="Cambria" w:cs="TimesNewRomanPSMT"/>
          <w:lang w:eastAsia="pl-PL"/>
        </w:rPr>
        <w:t>Pzp</w:t>
      </w:r>
      <w:proofErr w:type="spellEnd"/>
      <w:r w:rsidR="00F01184" w:rsidRPr="004C15CC">
        <w:rPr>
          <w:rFonts w:ascii="Cambria" w:hAnsi="Cambria" w:cs="TimesNewRomanPSMT"/>
          <w:lang w:eastAsia="pl-PL"/>
        </w:rPr>
        <w:t xml:space="preserve"> oznacza, że zamawiający miał wątpliwości co do jednoznacznego stwierdzenia o zgod</w:t>
      </w:r>
      <w:r w:rsidR="00F01184" w:rsidRPr="004C15CC">
        <w:rPr>
          <w:rFonts w:ascii="Cambria" w:hAnsi="Cambria" w:cs="TimesNewRomanPSMT"/>
          <w:lang w:eastAsia="pl-PL"/>
        </w:rPr>
        <w:t>ności lub niezgodności oferty</w:t>
      </w:r>
      <w:r w:rsidR="00F01184" w:rsidRPr="004C15CC">
        <w:rPr>
          <w:rFonts w:ascii="Cambria" w:hAnsi="Cambria" w:cs="TimesNewRomanPSMT"/>
          <w:lang w:eastAsia="pl-PL"/>
        </w:rPr>
        <w:t xml:space="preserve"> z warunkami zamówienia, których rozwianie może nastąpić wyłącznie przy udziale wykonawcy.  </w:t>
      </w:r>
      <w:r w:rsidR="00F01184" w:rsidRPr="004C15CC">
        <w:rPr>
          <w:rFonts w:ascii="Cambria" w:hAnsi="Cambria"/>
        </w:rPr>
        <w:t>W toku badania i oceny ofert niedopuszczalne jest prowadzenie między zamawiającym a wykonawcą negocjacji dotyczących złożonej oferty.</w:t>
      </w:r>
      <w:r w:rsidR="00F01184" w:rsidRPr="004C15CC">
        <w:rPr>
          <w:rFonts w:ascii="Cambria" w:hAnsi="Cambria" w:cs="Tahoma"/>
        </w:rPr>
        <w:t xml:space="preserve"> </w:t>
      </w:r>
      <w:r w:rsidR="00F01184" w:rsidRPr="004C15CC">
        <w:rPr>
          <w:rFonts w:ascii="Cambria" w:hAnsi="Cambria"/>
        </w:rPr>
        <w:t xml:space="preserve">Aby istniały podstawy do wezwania wykonawcy do złożenia wyjaśnień na podstawie art. 223 ust. 1 </w:t>
      </w:r>
      <w:proofErr w:type="spellStart"/>
      <w:r w:rsidR="00F01184" w:rsidRPr="004C15CC">
        <w:rPr>
          <w:rFonts w:ascii="Cambria" w:hAnsi="Cambria"/>
        </w:rPr>
        <w:t>pzp</w:t>
      </w:r>
      <w:proofErr w:type="spellEnd"/>
      <w:r w:rsidR="00F01184" w:rsidRPr="004C15CC">
        <w:rPr>
          <w:rFonts w:ascii="Cambria" w:hAnsi="Cambria"/>
        </w:rPr>
        <w:t>, treść oferty powinna być niejasna lub budzić wątpliwości. W przeciwny</w:t>
      </w:r>
      <w:r w:rsidR="00F01184" w:rsidRPr="004C15CC">
        <w:rPr>
          <w:rFonts w:ascii="Cambria" w:hAnsi="Cambria"/>
        </w:rPr>
        <w:t xml:space="preserve">m wypadku mogą być one uznane </w:t>
      </w:r>
      <w:r w:rsidR="00F01184" w:rsidRPr="004C15CC">
        <w:rPr>
          <w:rFonts w:ascii="Cambria" w:hAnsi="Cambria"/>
        </w:rPr>
        <w:t xml:space="preserve">za </w:t>
      </w:r>
      <w:r w:rsidR="00F01184" w:rsidRPr="004C15CC">
        <w:rPr>
          <w:rFonts w:ascii="Cambria" w:hAnsi="Cambria"/>
          <w:u w:val="single"/>
        </w:rPr>
        <w:t>niedozwolone negocjacje treści oferty</w:t>
      </w:r>
      <w:r w:rsidR="00F01184" w:rsidRPr="004C15CC">
        <w:rPr>
          <w:rFonts w:ascii="Cambria" w:hAnsi="Cambria"/>
        </w:rPr>
        <w:t>." (zob.: A. Gawrońska-Baran [w:] E. Wiktorowska, A. Wiktorowski, P. Wójcik, A. Gawrońska-Baran, Prawo zamówień publicznych. Komentarz aktualizowany, LEX/el. 2022, art. 223).</w:t>
      </w:r>
      <w:r w:rsidR="00F01184" w:rsidRPr="004C15CC">
        <w:rPr>
          <w:rFonts w:ascii="Cambria" w:hAnsi="Cambria" w:cs="Tahoma"/>
        </w:rPr>
        <w:t xml:space="preserve"> </w:t>
      </w:r>
      <w:r w:rsidR="00F01184" w:rsidRPr="004C15CC">
        <w:rPr>
          <w:rFonts w:ascii="Cambria" w:hAnsi="Cambria" w:cs="TimesNewRomanPSMT"/>
          <w:lang w:eastAsia="pl-PL"/>
        </w:rPr>
        <w:t xml:space="preserve">Negatywna ocena wyjaśnień prowadzi do negatywnych dla wykonawców konsekwencji, dlatego zamawiający przy ich ocenie powinien wykazać się należytą starannością. </w:t>
      </w:r>
      <w:r w:rsidR="00F01184" w:rsidRPr="004C15CC">
        <w:rPr>
          <w:rFonts w:ascii="Cambria" w:hAnsi="Cambria"/>
        </w:rPr>
        <w:t>Możliwość żądania od wykonawców wyjaśnień na  podstawie wskazanych przepisów  nie może dotyczyć tej części oferty, co do której wykonawca powinien był wskazać konkretne dane pozwalające na jej ocenę, lecz tego zaniechał (wyrok Sądu Okręgowego we Wrocławiu, X Ga 7/10; przytoczone orzecznictwo wydane w poprzednim stanie prawnym dotyczące zachowuje aktualność). Wyjaśnienie oferty nie może prowadzić do uzupełnienia jakiegokolwiek brakującego dokumentu (wyrok Sądu Apelacyjnego w Białymstoku, I </w:t>
      </w:r>
      <w:proofErr w:type="spellStart"/>
      <w:r w:rsidR="00F01184" w:rsidRPr="004C15CC">
        <w:rPr>
          <w:rFonts w:ascii="Cambria" w:hAnsi="Cambria"/>
        </w:rPr>
        <w:t>ACa</w:t>
      </w:r>
      <w:proofErr w:type="spellEnd"/>
      <w:r w:rsidR="00F01184" w:rsidRPr="004C15CC">
        <w:rPr>
          <w:rFonts w:ascii="Cambria" w:hAnsi="Cambria"/>
        </w:rPr>
        <w:t xml:space="preserve"> 960/14).  </w:t>
      </w:r>
      <w:r w:rsidR="00F01184" w:rsidRPr="004C15CC">
        <w:rPr>
          <w:rFonts w:ascii="Cambria" w:hAnsi="Cambria" w:cs="TimesNewRomanPSMT"/>
          <w:lang w:eastAsia="pl-PL"/>
        </w:rPr>
        <w:t xml:space="preserve"> </w:t>
      </w:r>
      <w:r w:rsidR="00F01184" w:rsidRPr="004C15CC">
        <w:rPr>
          <w:rFonts w:ascii="Cambria" w:hAnsi="Cambria"/>
        </w:rPr>
        <w:t>Skorzystanie z instytucji wezwania do wyjaśnień dotyczących złożonej oferty stanowi jedynie uprawnienie, a nie obowiązek zamawiającego.</w:t>
      </w:r>
    </w:p>
    <w:p w:rsidR="000C6090" w:rsidRPr="004C15CC" w:rsidRDefault="000C6090" w:rsidP="004C15CC">
      <w:pPr>
        <w:spacing w:after="120" w:line="240" w:lineRule="atLeast"/>
        <w:ind w:firstLine="709"/>
        <w:jc w:val="both"/>
        <w:rPr>
          <w:rFonts w:ascii="Cambria" w:hAnsi="Cambria"/>
        </w:rPr>
      </w:pPr>
      <w:r w:rsidRPr="004C15CC">
        <w:rPr>
          <w:rFonts w:ascii="Cambria" w:eastAsia="Times New Roman" w:hAnsi="Cambria" w:cs="Tahoma"/>
          <w:lang w:eastAsia="ar-SA"/>
        </w:rPr>
        <w:t xml:space="preserve">Poza powyższym, zamawiający pragnie zauważyć, iż niniejsza informacja dodatkowa nie powoduje unieważnienia czynności wyboru oferty najkorzystniejszej. </w:t>
      </w:r>
      <w:r w:rsidRPr="004C15CC">
        <w:rPr>
          <w:rFonts w:ascii="Cambria" w:hAnsi="Cambria"/>
        </w:rPr>
        <w:t xml:space="preserve">Przepisy </w:t>
      </w:r>
      <w:proofErr w:type="spellStart"/>
      <w:r w:rsidRPr="004C15CC">
        <w:rPr>
          <w:rFonts w:ascii="Cambria" w:hAnsi="Cambria"/>
        </w:rPr>
        <w:t>p.z.p</w:t>
      </w:r>
      <w:proofErr w:type="spellEnd"/>
      <w:r w:rsidRPr="004C15CC">
        <w:rPr>
          <w:rFonts w:ascii="Cambria" w:hAnsi="Cambria"/>
        </w:rPr>
        <w:t>. nie przewidują instytucji sprostowania czynności wyboru oferty najkorzystniejszej. Nie oznacza to jednak, że zamawiający nie ma możliwości skorygowania swojego błędu lub omyłki. Za dopuszczalne uznaje się zarówno unieważnienie czynności wyboru oferty najkorzystniejszej z inicjatywy zamawiającego, jak i sprostowanie informacji prze</w:t>
      </w:r>
      <w:r w:rsidRPr="004C15CC">
        <w:rPr>
          <w:rFonts w:ascii="Cambria" w:hAnsi="Cambria"/>
        </w:rPr>
        <w:t>kazanych w treści tej czynności, co zamawiający niniejszym czyni.</w:t>
      </w:r>
    </w:p>
    <w:p w:rsidR="000C6090" w:rsidRDefault="000C6090" w:rsidP="004C15CC">
      <w:pPr>
        <w:spacing w:after="120" w:line="240" w:lineRule="atLeast"/>
        <w:ind w:firstLine="709"/>
        <w:jc w:val="both"/>
        <w:rPr>
          <w:rFonts w:ascii="Cambria" w:hAnsi="Cambria"/>
        </w:rPr>
      </w:pPr>
      <w:r w:rsidRPr="004C15CC">
        <w:rPr>
          <w:rFonts w:ascii="Cambria" w:hAnsi="Cambria"/>
        </w:rPr>
        <w:t>W ocenie zamawiającego, niniejsza informacja dodatkowa nie powoduje, że czynność wyboru oferty traci swoją moc. Sama czynność pozostaje w mocy, a zmianie ulegają poszczególne informacje – w tym przypadku zamawiający podaje uzasadnie</w:t>
      </w:r>
      <w:r w:rsidR="004C15CC" w:rsidRPr="004C15CC">
        <w:rPr>
          <w:rFonts w:ascii="Cambria" w:hAnsi="Cambria"/>
        </w:rPr>
        <w:t xml:space="preserve">nie do przyznanych punktów </w:t>
      </w:r>
      <w:r w:rsidRPr="004C15CC">
        <w:rPr>
          <w:rFonts w:ascii="Cambria" w:hAnsi="Cambria"/>
        </w:rPr>
        <w:t>danemu wykonawcy.</w:t>
      </w:r>
      <w:r w:rsidR="004C15CC" w:rsidRPr="004C15CC">
        <w:rPr>
          <w:rFonts w:ascii="Cambria" w:hAnsi="Cambria"/>
        </w:rPr>
        <w:t xml:space="preserve"> Ponadto, informacja ta nie stanowi podstawy do odwołania lub nie decyduje o wyborze najkorzystniejszej oferty, gdyż dotyczy ona wykonawcy, który uplasował się na kolejnym miejscu w rankingu ofert i nie dotyczy wskazania wykonawcy, którego oferta została uznana za najkorzystniejszą. </w:t>
      </w:r>
    </w:p>
    <w:p w:rsidR="00C316DF" w:rsidRPr="004C15CC" w:rsidRDefault="00C316DF" w:rsidP="004C15CC">
      <w:pPr>
        <w:spacing w:after="120" w:line="240" w:lineRule="atLeast"/>
        <w:ind w:firstLine="709"/>
        <w:jc w:val="both"/>
        <w:rPr>
          <w:rFonts w:ascii="Cambria" w:eastAsia="Times New Roman" w:hAnsi="Cambria" w:cs="Tahoma"/>
          <w:lang w:eastAsia="ar-SA"/>
        </w:rPr>
      </w:pPr>
      <w:bookmarkStart w:id="0" w:name="_GoBack"/>
      <w:bookmarkEnd w:id="0"/>
    </w:p>
    <w:p w:rsidR="000C6090" w:rsidRPr="004C15CC" w:rsidRDefault="000C6090" w:rsidP="004C15CC">
      <w:pPr>
        <w:pStyle w:val="NormalnyWeb"/>
        <w:shd w:val="clear" w:color="auto" w:fill="FFFFFF"/>
        <w:spacing w:before="0" w:beforeAutospacing="0" w:after="120" w:afterAutospacing="0" w:line="240" w:lineRule="atLeast"/>
        <w:rPr>
          <w:rFonts w:ascii="Open Sans" w:hAnsi="Open Sans"/>
        </w:rPr>
      </w:pPr>
    </w:p>
    <w:p w:rsidR="00A63B8A" w:rsidRPr="00A63B8A" w:rsidRDefault="00A63B8A" w:rsidP="004C15CC">
      <w:pPr>
        <w:spacing w:after="120" w:line="240" w:lineRule="atLeast"/>
        <w:jc w:val="both"/>
        <w:rPr>
          <w:rFonts w:ascii="Cambria" w:eastAsia="Times New Roman" w:hAnsi="Cambria" w:cs="Times New Roman"/>
          <w:shd w:val="clear" w:color="auto" w:fill="FFFFFF"/>
          <w:lang w:eastAsia="ar-SA"/>
        </w:rPr>
      </w:pPr>
    </w:p>
    <w:p w:rsidR="00A63B8A" w:rsidRPr="00A63B8A" w:rsidRDefault="00A63B8A" w:rsidP="004C15CC">
      <w:pPr>
        <w:spacing w:after="120" w:line="240" w:lineRule="atLeast"/>
        <w:ind w:firstLine="708"/>
        <w:jc w:val="both"/>
        <w:rPr>
          <w:rFonts w:ascii="Cambria" w:hAnsi="Cambria"/>
        </w:rPr>
      </w:pPr>
    </w:p>
    <w:sectPr w:rsidR="00A63B8A" w:rsidRPr="00A63B8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824" w:rsidRDefault="00F61824" w:rsidP="00ED2B5E">
      <w:pPr>
        <w:spacing w:after="0" w:line="240" w:lineRule="auto"/>
      </w:pPr>
      <w:r>
        <w:separator/>
      </w:r>
    </w:p>
  </w:endnote>
  <w:endnote w:type="continuationSeparator" w:id="0">
    <w:p w:rsidR="00F61824" w:rsidRDefault="00F61824" w:rsidP="00ED2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TimesNewRomanPSMT">
    <w:altName w:val="Arial"/>
    <w:panose1 w:val="00000000000000000000"/>
    <w:charset w:val="00"/>
    <w:family w:val="swiss"/>
    <w:notTrueType/>
    <w:pitch w:val="default"/>
    <w:sig w:usb0="00000007" w:usb1="00000000" w:usb2="00000000" w:usb3="00000000" w:csb0="00000003"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824" w:rsidRDefault="00F61824" w:rsidP="00ED2B5E">
      <w:pPr>
        <w:spacing w:after="0" w:line="240" w:lineRule="auto"/>
      </w:pPr>
      <w:r>
        <w:separator/>
      </w:r>
    </w:p>
  </w:footnote>
  <w:footnote w:type="continuationSeparator" w:id="0">
    <w:p w:rsidR="00F61824" w:rsidRDefault="00F61824" w:rsidP="00ED2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B5E" w:rsidRDefault="00ED2B5E">
    <w:pPr>
      <w:pStyle w:val="Nagwek"/>
    </w:pPr>
    <w:r w:rsidRPr="00AC328C">
      <w:rPr>
        <w:rFonts w:cstheme="minorHAnsi"/>
        <w:b/>
        <w:noProof/>
        <w:lang w:eastAsia="pl-PL"/>
      </w:rPr>
      <w:drawing>
        <wp:anchor distT="0" distB="0" distL="114300" distR="114300" simplePos="0" relativeHeight="251659264" behindDoc="1" locked="0" layoutInCell="1" allowOverlap="1" wp14:anchorId="6C1A257F" wp14:editId="421D73A5">
          <wp:simplePos x="0" y="0"/>
          <wp:positionH relativeFrom="margin">
            <wp:align>right</wp:align>
          </wp:positionH>
          <wp:positionV relativeFrom="paragraph">
            <wp:posOffset>-57785</wp:posOffset>
          </wp:positionV>
          <wp:extent cx="1612900" cy="533400"/>
          <wp:effectExtent l="0" t="0" r="6350" b="0"/>
          <wp:wrapTight wrapText="bothSides">
            <wp:wrapPolygon edited="0">
              <wp:start x="0" y="0"/>
              <wp:lineTo x="0" y="20829"/>
              <wp:lineTo x="21430" y="20829"/>
              <wp:lineTo x="21430"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Pr>
        <w:noProof/>
        <w:lang w:eastAsia="pl-PL"/>
      </w:rPr>
      <w:drawing>
        <wp:inline distT="0" distB="0" distL="0" distR="0" wp14:anchorId="6218C00A" wp14:editId="6A8C284E">
          <wp:extent cx="1231265" cy="560705"/>
          <wp:effectExtent l="0" t="0" r="698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265" cy="5607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576368"/>
    <w:multiLevelType w:val="hybridMultilevel"/>
    <w:tmpl w:val="C2ACE5EA"/>
    <w:lvl w:ilvl="0" w:tplc="D944B23E">
      <w:start w:val="1"/>
      <w:numFmt w:val="bullet"/>
      <w:lvlText w:val="−"/>
      <w:lvlJc w:val="left"/>
      <w:pPr>
        <w:ind w:left="770" w:hanging="360"/>
      </w:pPr>
      <w:rPr>
        <w:rFonts w:ascii="Times New Roman" w:hAnsi="Times New Roman" w:hint="default"/>
        <w:color w:val="auto"/>
      </w:rPr>
    </w:lvl>
    <w:lvl w:ilvl="1" w:tplc="04150003" w:tentative="1">
      <w:start w:val="1"/>
      <w:numFmt w:val="bullet"/>
      <w:lvlText w:val="o"/>
      <w:lvlJc w:val="left"/>
      <w:pPr>
        <w:ind w:left="1490" w:hanging="360"/>
      </w:pPr>
      <w:rPr>
        <w:rFonts w:ascii="Courier New" w:hAnsi="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hint="default"/>
      </w:rPr>
    </w:lvl>
    <w:lvl w:ilvl="8" w:tplc="04150005" w:tentative="1">
      <w:start w:val="1"/>
      <w:numFmt w:val="bullet"/>
      <w:lvlText w:val=""/>
      <w:lvlJc w:val="left"/>
      <w:pPr>
        <w:ind w:left="6530" w:hanging="360"/>
      </w:pPr>
      <w:rPr>
        <w:rFonts w:ascii="Wingdings" w:hAnsi="Wingdings" w:hint="default"/>
      </w:rPr>
    </w:lvl>
  </w:abstract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B5E"/>
    <w:rsid w:val="000C6090"/>
    <w:rsid w:val="00335777"/>
    <w:rsid w:val="003C17F7"/>
    <w:rsid w:val="004C15CC"/>
    <w:rsid w:val="00A63B8A"/>
    <w:rsid w:val="00C316DF"/>
    <w:rsid w:val="00DF0028"/>
    <w:rsid w:val="00E804FB"/>
    <w:rsid w:val="00ED134B"/>
    <w:rsid w:val="00ED2B5E"/>
    <w:rsid w:val="00F01184"/>
    <w:rsid w:val="00F618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0350E0"/>
  <w15:chartTrackingRefBased/>
  <w15:docId w15:val="{77CC33B2-FFE7-42E3-BE4D-FCD41E4C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2B5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D2B5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2B5E"/>
  </w:style>
  <w:style w:type="paragraph" w:styleId="Stopka">
    <w:name w:val="footer"/>
    <w:basedOn w:val="Normalny"/>
    <w:link w:val="StopkaZnak"/>
    <w:uiPriority w:val="99"/>
    <w:unhideWhenUsed/>
    <w:rsid w:val="00ED2B5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2B5E"/>
  </w:style>
  <w:style w:type="paragraph" w:styleId="NormalnyWeb">
    <w:name w:val="Normal (Web)"/>
    <w:basedOn w:val="Normalny"/>
    <w:uiPriority w:val="99"/>
    <w:unhideWhenUsed/>
    <w:rsid w:val="000C609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33577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57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785785">
      <w:bodyDiv w:val="1"/>
      <w:marLeft w:val="0"/>
      <w:marRight w:val="0"/>
      <w:marTop w:val="0"/>
      <w:marBottom w:val="0"/>
      <w:divBdr>
        <w:top w:val="none" w:sz="0" w:space="0" w:color="auto"/>
        <w:left w:val="none" w:sz="0" w:space="0" w:color="auto"/>
        <w:bottom w:val="none" w:sz="0" w:space="0" w:color="auto"/>
        <w:right w:val="none" w:sz="0" w:space="0" w:color="auto"/>
      </w:divBdr>
    </w:div>
    <w:div w:id="1386832999">
      <w:bodyDiv w:val="1"/>
      <w:marLeft w:val="0"/>
      <w:marRight w:val="0"/>
      <w:marTop w:val="0"/>
      <w:marBottom w:val="0"/>
      <w:divBdr>
        <w:top w:val="none" w:sz="0" w:space="0" w:color="auto"/>
        <w:left w:val="none" w:sz="0" w:space="0" w:color="auto"/>
        <w:bottom w:val="none" w:sz="0" w:space="0" w:color="auto"/>
        <w:right w:val="none" w:sz="0" w:space="0" w:color="auto"/>
      </w:divBdr>
    </w:div>
    <w:div w:id="189484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971</Words>
  <Characters>5828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7</cp:revision>
  <cp:lastPrinted>2022-06-09T12:05:00Z</cp:lastPrinted>
  <dcterms:created xsi:type="dcterms:W3CDTF">2022-06-09T11:27:00Z</dcterms:created>
  <dcterms:modified xsi:type="dcterms:W3CDTF">2022-06-09T12:12:00Z</dcterms:modified>
</cp:coreProperties>
</file>