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63F" w:rsidRPr="00CF2F19" w:rsidRDefault="008E69EC" w:rsidP="00BB1826">
      <w:pPr>
        <w:spacing w:line="276" w:lineRule="auto"/>
        <w:ind w:left="0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</w:rPr>
        <w:t>UZASADNIENIE</w:t>
      </w:r>
    </w:p>
    <w:p w:rsidR="0010063F" w:rsidRPr="00CF2F19" w:rsidRDefault="008E69EC" w:rsidP="00BB1826">
      <w:pPr>
        <w:spacing w:line="276" w:lineRule="auto"/>
        <w:ind w:left="0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</w:rPr>
        <w:t>do projektu miejscowego planu zagospodarowania przestrzennego</w:t>
      </w:r>
      <w:r w:rsidRPr="00CF2F19">
        <w:rPr>
          <w:rFonts w:asciiTheme="minorHAnsi" w:hAnsiTheme="minorHAnsi" w:cstheme="minorHAnsi"/>
          <w:b/>
        </w:rPr>
        <w:br/>
      </w:r>
      <w:r w:rsidR="00F439CD" w:rsidRPr="00CF2F19">
        <w:rPr>
          <w:rFonts w:asciiTheme="minorHAnsi" w:hAnsiTheme="minorHAnsi" w:cstheme="minorHAnsi"/>
          <w:b/>
        </w:rPr>
        <w:t>obszar</w:t>
      </w:r>
      <w:r w:rsidRPr="00CF2F19">
        <w:rPr>
          <w:rFonts w:asciiTheme="minorHAnsi" w:hAnsiTheme="minorHAnsi" w:cstheme="minorHAnsi"/>
          <w:b/>
        </w:rPr>
        <w:t xml:space="preserve">u położonego w rejonie ulic: </w:t>
      </w:r>
      <w:r w:rsidR="00F439CD" w:rsidRPr="00CF2F19">
        <w:rPr>
          <w:rFonts w:asciiTheme="minorHAnsi" w:hAnsiTheme="minorHAnsi" w:cstheme="minorHAnsi"/>
          <w:b/>
        </w:rPr>
        <w:t>Zawadzkiej, Mostowej i Rudej</w:t>
      </w:r>
      <w:r w:rsidRPr="00CF2F19">
        <w:rPr>
          <w:rFonts w:asciiTheme="minorHAnsi" w:hAnsiTheme="minorHAnsi" w:cstheme="minorHAnsi"/>
          <w:b/>
        </w:rPr>
        <w:t xml:space="preserve"> w Tomaszowie Mazowieckim</w:t>
      </w:r>
    </w:p>
    <w:p w:rsidR="0010063F" w:rsidRPr="00CF2F19" w:rsidRDefault="008E69EC" w:rsidP="00BB1826">
      <w:pPr>
        <w:spacing w:before="120" w:line="276" w:lineRule="auto"/>
        <w:ind w:left="0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i/>
        </w:rPr>
        <w:t xml:space="preserve">sporządzone na podstawie art. 15 ust. 1 ustawy z dnia 27 marca 2003 r. </w:t>
      </w:r>
      <w:r w:rsidRPr="00CF2F19">
        <w:rPr>
          <w:rFonts w:asciiTheme="minorHAnsi" w:hAnsiTheme="minorHAnsi" w:cstheme="minorHAnsi"/>
          <w:i/>
        </w:rPr>
        <w:br/>
        <w:t xml:space="preserve">o planowaniu i zagospodarowaniu przestrzennym (j.t. </w:t>
      </w:r>
      <w:r w:rsidR="00D84846" w:rsidRPr="00CF2F19">
        <w:rPr>
          <w:rFonts w:asciiTheme="minorHAnsi" w:hAnsiTheme="minorHAnsi" w:cstheme="minorHAnsi"/>
          <w:i/>
        </w:rPr>
        <w:t>Dz. U. z 2022 r. poz. 503</w:t>
      </w:r>
      <w:r w:rsidRPr="00CF2F19">
        <w:rPr>
          <w:rFonts w:asciiTheme="minorHAnsi" w:hAnsiTheme="minorHAnsi" w:cstheme="minorHAnsi"/>
          <w:i/>
        </w:rPr>
        <w:t>)</w:t>
      </w:r>
    </w:p>
    <w:p w:rsidR="0010063F" w:rsidRPr="00CF2F19" w:rsidRDefault="008E69EC" w:rsidP="00BB1826">
      <w:pPr>
        <w:spacing w:before="240" w:line="276" w:lineRule="auto"/>
        <w:ind w:left="0" w:firstLine="56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Uchwałą nr  </w:t>
      </w:r>
      <w:r w:rsidR="00F439CD" w:rsidRPr="00CF2F19">
        <w:rPr>
          <w:rFonts w:asciiTheme="minorHAnsi" w:hAnsiTheme="minorHAnsi" w:cstheme="minorHAnsi"/>
        </w:rPr>
        <w:t>X</w:t>
      </w:r>
      <w:r w:rsidR="00AA18A0" w:rsidRPr="00CF2F19">
        <w:rPr>
          <w:rFonts w:asciiTheme="minorHAnsi" w:hAnsiTheme="minorHAnsi" w:cstheme="minorHAnsi"/>
        </w:rPr>
        <w:t>VI/</w:t>
      </w:r>
      <w:r w:rsidR="00612204" w:rsidRPr="00CF2F19">
        <w:rPr>
          <w:rFonts w:asciiTheme="minorHAnsi" w:hAnsiTheme="minorHAnsi" w:cstheme="minorHAnsi"/>
        </w:rPr>
        <w:t>123</w:t>
      </w:r>
      <w:r w:rsidR="00AA18A0" w:rsidRPr="00CF2F19">
        <w:rPr>
          <w:rFonts w:asciiTheme="minorHAnsi" w:hAnsiTheme="minorHAnsi" w:cstheme="minorHAnsi"/>
        </w:rPr>
        <w:t>/201</w:t>
      </w:r>
      <w:r w:rsidR="00612204" w:rsidRPr="00CF2F19">
        <w:rPr>
          <w:rFonts w:asciiTheme="minorHAnsi" w:hAnsiTheme="minorHAnsi" w:cstheme="minorHAnsi"/>
        </w:rPr>
        <w:t>9</w:t>
      </w:r>
      <w:r w:rsidRPr="00CF2F19">
        <w:rPr>
          <w:rFonts w:asciiTheme="minorHAnsi" w:hAnsiTheme="minorHAnsi" w:cstheme="minorHAnsi"/>
          <w:bCs/>
          <w:shd w:val="clear" w:color="auto" w:fill="FFFFFF"/>
        </w:rPr>
        <w:t xml:space="preserve"> z dnia 2</w:t>
      </w:r>
      <w:r w:rsidR="00612204" w:rsidRPr="00CF2F19">
        <w:rPr>
          <w:rFonts w:asciiTheme="minorHAnsi" w:hAnsiTheme="minorHAnsi" w:cstheme="minorHAnsi"/>
          <w:bCs/>
          <w:shd w:val="clear" w:color="auto" w:fill="FFFFFF"/>
        </w:rPr>
        <w:t>9</w:t>
      </w:r>
      <w:r w:rsidRPr="00CF2F19">
        <w:rPr>
          <w:rFonts w:asciiTheme="minorHAnsi" w:hAnsiTheme="minorHAnsi" w:cstheme="minorHAnsi"/>
          <w:bCs/>
          <w:shd w:val="clear" w:color="auto" w:fill="FFFFFF"/>
        </w:rPr>
        <w:t xml:space="preserve"> </w:t>
      </w:r>
      <w:r w:rsidR="00612204" w:rsidRPr="00CF2F19">
        <w:rPr>
          <w:rFonts w:asciiTheme="minorHAnsi" w:hAnsiTheme="minorHAnsi" w:cstheme="minorHAnsi"/>
          <w:bCs/>
          <w:shd w:val="clear" w:color="auto" w:fill="FFFFFF"/>
        </w:rPr>
        <w:t>sierpni</w:t>
      </w:r>
      <w:r w:rsidRPr="00CF2F19">
        <w:rPr>
          <w:rFonts w:asciiTheme="minorHAnsi" w:hAnsiTheme="minorHAnsi" w:cstheme="minorHAnsi"/>
          <w:bCs/>
          <w:shd w:val="clear" w:color="auto" w:fill="FFFFFF"/>
        </w:rPr>
        <w:t>a 201</w:t>
      </w:r>
      <w:r w:rsidR="00612204" w:rsidRPr="00CF2F19">
        <w:rPr>
          <w:rFonts w:asciiTheme="minorHAnsi" w:hAnsiTheme="minorHAnsi" w:cstheme="minorHAnsi"/>
          <w:bCs/>
          <w:shd w:val="clear" w:color="auto" w:fill="FFFFFF"/>
        </w:rPr>
        <w:t>9</w:t>
      </w:r>
      <w:r w:rsidRPr="00CF2F19">
        <w:rPr>
          <w:rFonts w:asciiTheme="minorHAnsi" w:hAnsiTheme="minorHAnsi" w:cstheme="minorHAnsi"/>
          <w:bCs/>
          <w:shd w:val="clear" w:color="auto" w:fill="FFFFFF"/>
        </w:rPr>
        <w:t xml:space="preserve"> roku</w:t>
      </w:r>
      <w:r w:rsidRPr="00CF2F19">
        <w:rPr>
          <w:rFonts w:asciiTheme="minorHAnsi" w:hAnsiTheme="minorHAnsi" w:cstheme="minorHAnsi"/>
        </w:rPr>
        <w:t xml:space="preserve"> przystąpiono do sporządzenia miejscowego planu zagospodarowania przestrzennego </w:t>
      </w:r>
      <w:r w:rsidR="00F439CD" w:rsidRPr="00CF2F19">
        <w:rPr>
          <w:rFonts w:asciiTheme="minorHAnsi" w:hAnsiTheme="minorHAnsi" w:cstheme="minorHAnsi"/>
        </w:rPr>
        <w:t>obszar</w:t>
      </w:r>
      <w:r w:rsidRPr="00CF2F19">
        <w:rPr>
          <w:rFonts w:asciiTheme="minorHAnsi" w:hAnsiTheme="minorHAnsi" w:cstheme="minorHAnsi"/>
        </w:rPr>
        <w:t xml:space="preserve">u położonego w rejonie ulic: </w:t>
      </w:r>
      <w:r w:rsidR="00F439CD" w:rsidRPr="00CF2F19">
        <w:rPr>
          <w:rFonts w:asciiTheme="minorHAnsi" w:hAnsiTheme="minorHAnsi" w:cstheme="minorHAnsi"/>
        </w:rPr>
        <w:t>Zawadzkiej, Mostowej i Rudej</w:t>
      </w:r>
      <w:r w:rsidRPr="00CF2F19">
        <w:rPr>
          <w:rFonts w:asciiTheme="minorHAnsi" w:hAnsiTheme="minorHAnsi" w:cstheme="minorHAnsi"/>
        </w:rPr>
        <w:t xml:space="preserve"> w Tomaszowie Mazowieckim.</w:t>
      </w:r>
    </w:p>
    <w:p w:rsidR="0010063F" w:rsidRPr="00CF2F19" w:rsidRDefault="008E69EC" w:rsidP="00BB1826">
      <w:pPr>
        <w:spacing w:line="276" w:lineRule="auto"/>
        <w:ind w:left="0" w:firstLine="56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 wyniku realizacji ww. uchwały został opracowany projekt planu miejscowego wraz z prognozą oddziaływania na środowisko i prognozą skutków finansowych uchwalenia planu miejscowego. Miejscowy plan zagospodarowania przestrzennego jest narzędziem realizacji polityki przestrzennej Gminy zawartej w obowiązującym studium uwarunkowań i kierunków zagospodarowania przestrzennego miasta Tomasz</w:t>
      </w:r>
      <w:r w:rsidR="00612204" w:rsidRPr="00CF2F19">
        <w:rPr>
          <w:rFonts w:asciiTheme="minorHAnsi" w:hAnsiTheme="minorHAnsi" w:cstheme="minorHAnsi"/>
        </w:rPr>
        <w:t>o</w:t>
      </w:r>
      <w:r w:rsidRPr="00CF2F19">
        <w:rPr>
          <w:rFonts w:asciiTheme="minorHAnsi" w:hAnsiTheme="minorHAnsi" w:cstheme="minorHAnsi"/>
        </w:rPr>
        <w:t>w</w:t>
      </w:r>
      <w:r w:rsidR="00612204" w:rsidRPr="00CF2F19">
        <w:rPr>
          <w:rFonts w:asciiTheme="minorHAnsi" w:hAnsiTheme="minorHAnsi" w:cstheme="minorHAnsi"/>
        </w:rPr>
        <w:t>a</w:t>
      </w:r>
      <w:r w:rsidRPr="00CF2F19">
        <w:rPr>
          <w:rFonts w:asciiTheme="minorHAnsi" w:hAnsiTheme="minorHAnsi" w:cstheme="minorHAnsi"/>
        </w:rPr>
        <w:t xml:space="preserve"> Mazowiecki</w:t>
      </w:r>
      <w:r w:rsidR="00612204" w:rsidRPr="00CF2F19">
        <w:rPr>
          <w:rFonts w:asciiTheme="minorHAnsi" w:hAnsiTheme="minorHAnsi" w:cstheme="minorHAnsi"/>
        </w:rPr>
        <w:t>ego</w:t>
      </w:r>
      <w:r w:rsidRPr="00CF2F19">
        <w:rPr>
          <w:rFonts w:asciiTheme="minorHAnsi" w:hAnsiTheme="minorHAnsi" w:cstheme="minorHAnsi"/>
        </w:rPr>
        <w:t xml:space="preserve"> przyjmującej ład przestrzenny oraz rozwój zrównoważony jako podstawę działań samorządu lokalnego. Projekt planu miejscowego został sporządzony zgodnie z</w:t>
      </w:r>
      <w:r w:rsidR="00612204" w:rsidRPr="00CF2F19">
        <w:rPr>
          <w:rFonts w:asciiTheme="minorHAnsi" w:hAnsiTheme="minorHAnsi" w:cstheme="minorHAnsi"/>
        </w:rPr>
        <w:t> </w:t>
      </w:r>
      <w:r w:rsidRPr="00CF2F19">
        <w:rPr>
          <w:rFonts w:asciiTheme="minorHAnsi" w:hAnsiTheme="minorHAnsi" w:cstheme="minorHAnsi"/>
        </w:rPr>
        <w:t>zapisami studium oraz przepisami odrębnymi odnoszącymi się do obszaru objętego planem.</w:t>
      </w:r>
    </w:p>
    <w:p w:rsidR="0010063F" w:rsidRPr="00936552" w:rsidRDefault="008E69EC" w:rsidP="00BB1826">
      <w:pPr>
        <w:pStyle w:val="Akapitzlist"/>
        <w:numPr>
          <w:ilvl w:val="0"/>
          <w:numId w:val="1"/>
        </w:numPr>
        <w:spacing w:before="240" w:line="276" w:lineRule="auto"/>
        <w:ind w:left="425" w:hanging="425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  <w:u w:val="single"/>
        </w:rPr>
        <w:t>Sposób realizacji wymogów wynikających z art. 1 ust. 2 – 4 ustawy o planowaniu i zagospodarowaniu przestrzennym</w:t>
      </w:r>
    </w:p>
    <w:p w:rsidR="0010063F" w:rsidRPr="00CF2F19" w:rsidRDefault="008E69EC" w:rsidP="00BB1826">
      <w:pPr>
        <w:pStyle w:val="Akapitzlist"/>
        <w:numPr>
          <w:ilvl w:val="1"/>
          <w:numId w:val="1"/>
        </w:numPr>
        <w:spacing w:before="240" w:line="276" w:lineRule="auto"/>
        <w:ind w:left="794" w:hanging="369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</w:rPr>
        <w:t>Sposób realizacji wymogów wynikających z art. 1 ust. 2 ustawy:</w:t>
      </w:r>
    </w:p>
    <w:p w:rsidR="0010063F" w:rsidRPr="00CF2F19" w:rsidRDefault="008E69EC" w:rsidP="00BB1826">
      <w:pPr>
        <w:pStyle w:val="Akapitzlist"/>
        <w:spacing w:before="120" w:line="276" w:lineRule="auto"/>
        <w:ind w:left="42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 projekcie miejscowego planu uwzględniono: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wymagania ładu przestrzennego, w tym urbanistyki i architektury oraz walory architektoniczne i krajobrazowe 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linii rozgraniczających tereny o różnym przeznaczeniu lub różnych zasadach zagospodarowania,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przeznaczenia terenów,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parametrów i wskaźników planowanej zabudowy oraz zagospodarowania terenów,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wymagań wynikających z potrzeb kształtowania przestrzeni publicznych, do których na obszarze planu należą tereny komunikacji;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wymagania ochrony środowiska, w tym gospodarowania wodami i ochrony gruntów rolnych i leśnych</w:t>
      </w:r>
      <w:r w:rsidRPr="00CF2F19">
        <w:rPr>
          <w:rFonts w:asciiTheme="minorHAnsi" w:hAnsiTheme="minorHAnsi" w:cstheme="minorHAnsi"/>
        </w:rPr>
        <w:t xml:space="preserve"> </w:t>
      </w:r>
      <w:r w:rsidRPr="00CF2F19">
        <w:rPr>
          <w:rFonts w:asciiTheme="minorHAnsi" w:hAnsiTheme="minorHAnsi" w:cstheme="minorHAnsi"/>
          <w:u w:val="single"/>
        </w:rPr>
        <w:t>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zasad modernizacji, rozbudowy i budowy systemów infrastruktury technicznej służącej ograniczaniu wpływu zagospodarowania terenów na poszczególne elementy środowiska,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ustalenie stref</w:t>
      </w:r>
      <w:r w:rsidR="00612204" w:rsidRPr="00CF2F19">
        <w:rPr>
          <w:rFonts w:asciiTheme="minorHAnsi" w:hAnsiTheme="minorHAnsi" w:cstheme="minorHAnsi"/>
        </w:rPr>
        <w:t>y</w:t>
      </w:r>
      <w:r w:rsidRPr="00CF2F19">
        <w:rPr>
          <w:rFonts w:asciiTheme="minorHAnsi" w:hAnsiTheme="minorHAnsi" w:cstheme="minorHAnsi"/>
        </w:rPr>
        <w:t xml:space="preserve"> ochronn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istniejąc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linii elektroenergetyczn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średniego</w:t>
      </w:r>
      <w:r w:rsidR="00612204" w:rsidRPr="00CF2F19">
        <w:rPr>
          <w:rFonts w:asciiTheme="minorHAnsi" w:hAnsiTheme="minorHAnsi" w:cstheme="minorHAnsi"/>
        </w:rPr>
        <w:t xml:space="preserve"> napięcia</w:t>
      </w:r>
      <w:r w:rsidRPr="00CF2F19">
        <w:rPr>
          <w:rFonts w:asciiTheme="minorHAnsi" w:hAnsiTheme="minorHAnsi" w:cstheme="minorHAnsi"/>
        </w:rPr>
        <w:t>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wskazanie szczególnych zasad zagospodarowania terenów w zasięgu oddziaływania sieci i urządzeń infrastruktury technicznej,</w:t>
      </w:r>
    </w:p>
    <w:p w:rsidR="0010063F" w:rsidRPr="00CF2F19" w:rsidRDefault="009A3D82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lastRenderedPageBreak/>
        <w:t>nakaz ochrony wód podziemnych i powierzchniowych przed zanieczyszczeniem</w:t>
      </w:r>
      <w:r w:rsidR="008E69EC" w:rsidRPr="00CF2F19">
        <w:rPr>
          <w:rFonts w:asciiTheme="minorHAnsi" w:hAnsiTheme="minorHAnsi" w:cstheme="minorHAnsi"/>
        </w:rPr>
        <w:t>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zachowanie</w:t>
      </w:r>
      <w:r w:rsidR="00AA18A0" w:rsidRPr="00CF2F19">
        <w:rPr>
          <w:rFonts w:asciiTheme="minorHAnsi" w:hAnsiTheme="minorHAnsi" w:cstheme="minorHAnsi"/>
        </w:rPr>
        <w:t xml:space="preserve"> terenów biologicznie czynnych </w:t>
      </w:r>
      <w:r w:rsidRPr="00CF2F19">
        <w:rPr>
          <w:rFonts w:asciiTheme="minorHAnsi" w:hAnsiTheme="minorHAnsi" w:cstheme="minorHAnsi"/>
        </w:rPr>
        <w:t xml:space="preserve">wzdłuż rzeki </w:t>
      </w:r>
      <w:r w:rsidR="00612204" w:rsidRPr="00CF2F19">
        <w:rPr>
          <w:rFonts w:asciiTheme="minorHAnsi" w:hAnsiTheme="minorHAnsi" w:cstheme="minorHAnsi"/>
        </w:rPr>
        <w:t>Wolbórki</w:t>
      </w:r>
      <w:r w:rsidRPr="00CF2F19">
        <w:rPr>
          <w:rFonts w:asciiTheme="minorHAnsi" w:hAnsiTheme="minorHAnsi" w:cstheme="minorHAnsi"/>
        </w:rPr>
        <w:t>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ustalenie </w:t>
      </w:r>
      <w:r w:rsidR="00612204" w:rsidRPr="00CF2F19">
        <w:rPr>
          <w:rFonts w:asciiTheme="minorHAnsi" w:hAnsiTheme="minorHAnsi" w:cstheme="minorHAnsi"/>
        </w:rPr>
        <w:t xml:space="preserve">na </w:t>
      </w:r>
      <w:r w:rsidR="00AA18A0" w:rsidRPr="00CF2F19">
        <w:rPr>
          <w:rFonts w:asciiTheme="minorHAnsi" w:hAnsiTheme="minorHAnsi" w:cstheme="minorHAnsi"/>
        </w:rPr>
        <w:t>obszarach szczególnego zagrożenia powodzią zakazów i</w:t>
      </w:r>
      <w:r w:rsidR="00F0554A" w:rsidRPr="00CF2F19">
        <w:rPr>
          <w:rFonts w:asciiTheme="minorHAnsi" w:hAnsiTheme="minorHAnsi" w:cstheme="minorHAnsi"/>
        </w:rPr>
        <w:t> </w:t>
      </w:r>
      <w:r w:rsidR="00AA18A0" w:rsidRPr="00CF2F19">
        <w:rPr>
          <w:rFonts w:asciiTheme="minorHAnsi" w:hAnsiTheme="minorHAnsi" w:cstheme="minorHAnsi"/>
        </w:rPr>
        <w:t>ograniczeń w</w:t>
      </w:r>
      <w:r w:rsidR="009C26DD" w:rsidRPr="00CF2F19">
        <w:rPr>
          <w:rFonts w:asciiTheme="minorHAnsi" w:hAnsiTheme="minorHAnsi" w:cstheme="minorHAnsi"/>
        </w:rPr>
        <w:t> </w:t>
      </w:r>
      <w:r w:rsidR="00AA18A0" w:rsidRPr="00CF2F19">
        <w:rPr>
          <w:rFonts w:asciiTheme="minorHAnsi" w:hAnsiTheme="minorHAnsi" w:cstheme="minorHAnsi"/>
        </w:rPr>
        <w:t>zagospodarowaniu, o których mowa w przepisach odrębnych dotyczących ochrony wód;</w:t>
      </w:r>
    </w:p>
    <w:p w:rsidR="00941DAD" w:rsidRPr="00CF2F19" w:rsidRDefault="00941DAD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zakaz lokalizacji składowisk odpadów w całym obszarze planu;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wymagania ochrony dziedzictwa kulturowego i zabytków oraz dóbr kultury współczesnej poprzez:</w:t>
      </w:r>
    </w:p>
    <w:p w:rsidR="0010063F" w:rsidRPr="00CF2F19" w:rsidRDefault="009A3D82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nie ustalono wymagań dotyczących ochrony dziedzictwa kulturowego i zabytków oraz dóbr kultury współczesnej z uwagi na brak takich obiektów w obszarze objętym planem</w:t>
      </w:r>
      <w:r w:rsidR="008E69EC" w:rsidRPr="00CF2F19">
        <w:rPr>
          <w:rFonts w:asciiTheme="minorHAnsi" w:hAnsiTheme="minorHAnsi" w:cstheme="minorHAnsi"/>
        </w:rPr>
        <w:t>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 xml:space="preserve">wymagania ochrony zdrowia oraz bezpieczeństwa ludzi i mienia, a także potrzeby </w:t>
      </w:r>
      <w:r w:rsidR="00431498" w:rsidRPr="00CF2F19">
        <w:rPr>
          <w:rFonts w:asciiTheme="minorHAnsi" w:hAnsiTheme="minorHAnsi" w:cstheme="minorHAnsi"/>
          <w:u w:val="single"/>
        </w:rPr>
        <w:t xml:space="preserve">osób ze szczególnymi potrzebami, o których mowa w ustawie z dnia 19 lipca 2019 r. o zapewnianiu dostępności osobom ze szczególnymi potrzebami </w:t>
      </w:r>
      <w:r w:rsidRPr="00CF2F19">
        <w:rPr>
          <w:rFonts w:asciiTheme="minorHAnsi" w:hAnsiTheme="minorHAnsi" w:cstheme="minorHAnsi"/>
        </w:rPr>
        <w:t xml:space="preserve"> </w:t>
      </w:r>
      <w:r w:rsidRPr="00CF2F19">
        <w:rPr>
          <w:rFonts w:asciiTheme="minorHAnsi" w:hAnsiTheme="minorHAnsi" w:cstheme="minorHAnsi"/>
          <w:u w:val="single"/>
        </w:rPr>
        <w:t>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stref</w:t>
      </w:r>
      <w:r w:rsidR="00612204" w:rsidRPr="00CF2F19">
        <w:rPr>
          <w:rFonts w:asciiTheme="minorHAnsi" w:hAnsiTheme="minorHAnsi" w:cstheme="minorHAnsi"/>
        </w:rPr>
        <w:t>y</w:t>
      </w:r>
      <w:r w:rsidRPr="00CF2F19">
        <w:rPr>
          <w:rFonts w:asciiTheme="minorHAnsi" w:hAnsiTheme="minorHAnsi" w:cstheme="minorHAnsi"/>
        </w:rPr>
        <w:t xml:space="preserve"> ochronn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istniejąc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linii elektroenergetyczn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średniego napięcia oraz zasad zagospodarowania terenów w t</w:t>
      </w:r>
      <w:r w:rsidR="00612204" w:rsidRPr="00CF2F19">
        <w:rPr>
          <w:rFonts w:asciiTheme="minorHAnsi" w:hAnsiTheme="minorHAnsi" w:cstheme="minorHAnsi"/>
        </w:rPr>
        <w:t>ej</w:t>
      </w:r>
      <w:r w:rsidRPr="00CF2F19">
        <w:rPr>
          <w:rFonts w:asciiTheme="minorHAnsi" w:hAnsiTheme="minorHAnsi" w:cstheme="minorHAnsi"/>
        </w:rPr>
        <w:t xml:space="preserve"> stref</w:t>
      </w:r>
      <w:r w:rsidR="00612204" w:rsidRPr="00CF2F19">
        <w:rPr>
          <w:rFonts w:asciiTheme="minorHAnsi" w:hAnsiTheme="minorHAnsi" w:cstheme="minorHAnsi"/>
        </w:rPr>
        <w:t>ie</w:t>
      </w:r>
      <w:r w:rsidRPr="00CF2F19">
        <w:rPr>
          <w:rFonts w:asciiTheme="minorHAnsi" w:hAnsiTheme="minorHAnsi" w:cstheme="minorHAnsi"/>
        </w:rPr>
        <w:t>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sposobu realizacji oraz minimalnej liczby miejsc do parkowania pojazdów zaopatrzonych w kartę parkingową,</w:t>
      </w:r>
    </w:p>
    <w:p w:rsidR="0010063F" w:rsidRPr="00CF2F19" w:rsidRDefault="00431498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nakaz</w:t>
      </w:r>
      <w:r w:rsidR="008E69EC" w:rsidRPr="00CF2F19">
        <w:rPr>
          <w:rFonts w:asciiTheme="minorHAnsi" w:hAnsiTheme="minorHAnsi" w:cstheme="minorHAnsi"/>
        </w:rPr>
        <w:t xml:space="preserve"> </w:t>
      </w:r>
      <w:r w:rsidRPr="00CF2F19">
        <w:rPr>
          <w:rFonts w:asciiTheme="minorHAnsi" w:hAnsiTheme="minorHAnsi" w:cstheme="minorHAnsi"/>
        </w:rPr>
        <w:t>zagospodarowania przestrzeni i urządzenie nawierzchni w sposób zapewniający dostępność osobom ze szczególnymi potrzebami w rozumieniu przepisów odrębnych</w:t>
      </w:r>
      <w:r w:rsidR="008E69EC" w:rsidRPr="00CF2F19">
        <w:rPr>
          <w:rFonts w:asciiTheme="minorHAnsi" w:hAnsiTheme="minorHAnsi" w:cstheme="minorHAnsi"/>
        </w:rPr>
        <w:t>,</w:t>
      </w:r>
    </w:p>
    <w:p w:rsidR="0010063F" w:rsidRPr="00CF2F19" w:rsidRDefault="00941DAD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ustalenie </w:t>
      </w:r>
      <w:r w:rsidR="00612204" w:rsidRPr="00CF2F19">
        <w:rPr>
          <w:rFonts w:asciiTheme="minorHAnsi" w:hAnsiTheme="minorHAnsi" w:cstheme="minorHAnsi"/>
        </w:rPr>
        <w:t xml:space="preserve">na </w:t>
      </w:r>
      <w:r w:rsidRPr="00CF2F19">
        <w:rPr>
          <w:rFonts w:asciiTheme="minorHAnsi" w:hAnsiTheme="minorHAnsi" w:cstheme="minorHAnsi"/>
        </w:rPr>
        <w:t>obszarach szczególnego zagrożenia powodzią zakazów i</w:t>
      </w:r>
      <w:r w:rsidR="00F0554A" w:rsidRPr="00CF2F19">
        <w:rPr>
          <w:rFonts w:asciiTheme="minorHAnsi" w:hAnsiTheme="minorHAnsi" w:cstheme="minorHAnsi"/>
        </w:rPr>
        <w:t> </w:t>
      </w:r>
      <w:r w:rsidRPr="00CF2F19">
        <w:rPr>
          <w:rFonts w:asciiTheme="minorHAnsi" w:hAnsiTheme="minorHAnsi" w:cstheme="minorHAnsi"/>
        </w:rPr>
        <w:t xml:space="preserve">ograniczeń w zagospodarowaniu, o których mowa w przepisach odrębnych dotyczących </w:t>
      </w:r>
      <w:r w:rsidR="008E69EC" w:rsidRPr="00CF2F19">
        <w:rPr>
          <w:rFonts w:asciiTheme="minorHAnsi" w:hAnsiTheme="minorHAnsi" w:cstheme="minorHAnsi"/>
        </w:rPr>
        <w:t>ochrony przed powodzią;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walory ekonomiczne przestrzeni 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racjonalne wykorzystanie istniejących elementów infrastruktury technicznej i istniejącego zagospodarowania terenów przy wyznaczaniu nowych terenów pod zabudowę,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ustalenie stawki procentowej stanowiącej postawę naliczenia opłaty z tytułu wzrostu wartości nieruchomości spowodowanej uchwaleniem planu miejscowego;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prawo własności poprzez</w:t>
      </w:r>
      <w:r w:rsidRPr="00CF2F19">
        <w:rPr>
          <w:rFonts w:asciiTheme="minorHAnsi" w:hAnsiTheme="minorHAnsi" w:cstheme="minorHAnsi"/>
        </w:rPr>
        <w:t>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wyznaczenie linii rozgraniczających tereny, w szczególności tereny pod drogi publiczne, w sposób jak najmniej ingerujący w prywatną własność i w tereny już zainwestowane;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potrzeby obronności i bezpieczeństwa państwa 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zasad modernizacji, rozbudowy i budowy systemów infrastruktury technicznej w sposób zgodny z przepisami,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zawiadomienie właściwych organów wojskowych, ochrony granic i bezpieczeństwa państwa o przystąpieniu do sporządzenia planu miejscowego oraz uwzględnienie złożonych przez nich wniosków,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lastRenderedPageBreak/>
        <w:t>uzgodnienie projektu planu z właściwymi organami wojskowymi, ochrony granic i bezpieczeństwa państwa;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potrzeby interesu publicznego poprzez: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wskazanie terenów przeznaczonych pod komunikację publiczną,</w:t>
      </w:r>
    </w:p>
    <w:p w:rsidR="0010063F" w:rsidRPr="00CF2F19" w:rsidRDefault="008E69EC" w:rsidP="00BB1826">
      <w:pPr>
        <w:pStyle w:val="Akapitzlist"/>
        <w:numPr>
          <w:ilvl w:val="1"/>
          <w:numId w:val="2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zasad budowy, rozbudowy i modernizacji infrastruktury technicznej służącej zbiorowemu zaopatrzeniu w wodę i odprowadzeniu ścieków;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potrzeby w zakresie rozwoju infrastruktury technicznej, w szczególności sieci szerokopasmowych poprzez:</w:t>
      </w:r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określenie zasad i wymogów realizacji infrastruktury technicznej;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zapewnienie udziału społeczeństwa w pracach nad miejscowym planem zagospodarowania przestrzennego, w tym przy użyciu środków komunikacji elektronicznej poprzez:</w:t>
      </w:r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ogłoszenie w prasie i w Biuletynie Informacji Publicznej oraz obwieszczenie na tablicy ogłoszeń o przystąpieniu do sporządzenia projektu planu i możliwości składania wniosków do projektu planu,</w:t>
      </w:r>
    </w:p>
    <w:p w:rsidR="0010063F" w:rsidRPr="00AD44EE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AD44EE">
        <w:rPr>
          <w:rFonts w:asciiTheme="minorHAnsi" w:hAnsiTheme="minorHAnsi" w:cstheme="minorHAnsi"/>
          <w:i/>
        </w:rPr>
        <w:t>ogłoszenie w prasie i w Biuletynie Informacji Publicznej oraz obwieszczenie na tablicy ogłoszeń o wyłożeniu projek</w:t>
      </w:r>
      <w:r w:rsidR="00AD44EE">
        <w:rPr>
          <w:rFonts w:asciiTheme="minorHAnsi" w:hAnsiTheme="minorHAnsi" w:cstheme="minorHAnsi"/>
          <w:i/>
        </w:rPr>
        <w:t>tu planu do publicznego wglądu,</w:t>
      </w:r>
    </w:p>
    <w:p w:rsidR="0010063F" w:rsidRPr="008C737B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8C737B">
        <w:rPr>
          <w:rFonts w:asciiTheme="minorHAnsi" w:hAnsiTheme="minorHAnsi" w:cstheme="minorHAnsi"/>
          <w:i/>
        </w:rPr>
        <w:t xml:space="preserve">możliwość składania uwag do projektu planu na piśmie lub za pomocą </w:t>
      </w:r>
      <w:r w:rsidR="00CA54F1" w:rsidRPr="008C737B">
        <w:rPr>
          <w:rFonts w:asciiTheme="minorHAnsi" w:hAnsiTheme="minorHAnsi" w:cstheme="minorHAnsi"/>
          <w:i/>
        </w:rPr>
        <w:t xml:space="preserve">środków </w:t>
      </w:r>
      <w:r w:rsidR="008C737B">
        <w:rPr>
          <w:rFonts w:asciiTheme="minorHAnsi" w:hAnsiTheme="minorHAnsi" w:cstheme="minorHAnsi"/>
          <w:i/>
        </w:rPr>
        <w:t>komunikacji elektronicznej,</w:t>
      </w:r>
      <w:bookmarkStart w:id="0" w:name="_GoBack"/>
      <w:bookmarkEnd w:id="0"/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i/>
        </w:rPr>
        <w:t>możliwość zapoznania się z niezbędną dokumentacją sprawy w rozumieniu art. 39 ust. 2 ustawy z</w:t>
      </w:r>
      <w:r w:rsidR="008C0BFF" w:rsidRPr="00CF2F19">
        <w:rPr>
          <w:rFonts w:asciiTheme="minorHAnsi" w:hAnsiTheme="minorHAnsi" w:cstheme="minorHAnsi"/>
          <w:i/>
        </w:rPr>
        <w:t xml:space="preserve"> dnia 3 października 2008 r. o </w:t>
      </w:r>
      <w:r w:rsidRPr="00CF2F19">
        <w:rPr>
          <w:rFonts w:asciiTheme="minorHAnsi" w:hAnsiTheme="minorHAnsi" w:cstheme="minorHAnsi"/>
          <w:i/>
        </w:rPr>
        <w:t>udostępnianiu informacji o środowisku i jego ochronie, udziale społeczeństwa w ochronie środowiska oraz o ocena</w:t>
      </w:r>
      <w:r w:rsidR="008C0BFF" w:rsidRPr="00CF2F19">
        <w:rPr>
          <w:rFonts w:asciiTheme="minorHAnsi" w:hAnsiTheme="minorHAnsi" w:cstheme="minorHAnsi"/>
          <w:i/>
        </w:rPr>
        <w:t>ch oddziaływania na środowisko.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zachowanie jawności i przejrzystości procedur planistycznych poprzez:</w:t>
      </w:r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realizację procedury planistycznej zgodnie z art. 17 ustawy o planowaniu i zagospodarowaniu przestrzennym,</w:t>
      </w:r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przeprowadzenie strategicznej oceny oddziaływania na środowisko projektowanego planu miejscowego zgodnie z art. 21, art. 39 i art. 54 ustawy o udostępnianiu informacji o środowisku i jego ochronie, udziale społeczeństwa w ochronie środowiska oraz o ocenach oddziaływania na środowisko;</w:t>
      </w:r>
    </w:p>
    <w:p w:rsidR="0010063F" w:rsidRPr="00CF2F19" w:rsidRDefault="008E69EC" w:rsidP="00BB1826">
      <w:pPr>
        <w:pStyle w:val="Akapitzlist"/>
        <w:numPr>
          <w:ilvl w:val="0"/>
          <w:numId w:val="2"/>
        </w:numPr>
        <w:spacing w:before="120" w:line="276" w:lineRule="auto"/>
        <w:ind w:left="771" w:hanging="357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potrzebę zapewnienia odpowiedniej ilości i jakości wody, do celów zaopatrzenia ludności poprzez</w:t>
      </w:r>
      <w:r w:rsidRPr="00CF2F19">
        <w:rPr>
          <w:rFonts w:asciiTheme="minorHAnsi" w:hAnsiTheme="minorHAnsi" w:cstheme="minorHAnsi"/>
        </w:rPr>
        <w:t>:</w:t>
      </w:r>
    </w:p>
    <w:p w:rsidR="0010063F" w:rsidRPr="00CF2F19" w:rsidRDefault="008E69EC" w:rsidP="00BB1826">
      <w:pPr>
        <w:pStyle w:val="Akapitzlist"/>
        <w:numPr>
          <w:ilvl w:val="1"/>
          <w:numId w:val="5"/>
        </w:numPr>
        <w:spacing w:line="276" w:lineRule="auto"/>
        <w:ind w:left="1135" w:hanging="284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wprowadzenie zasady zaopatrzenia w wodę z sieci wodociągowej z dopu</w:t>
      </w:r>
      <w:r w:rsidR="00CB7238" w:rsidRPr="00CF2F19">
        <w:rPr>
          <w:rFonts w:asciiTheme="minorHAnsi" w:hAnsiTheme="minorHAnsi" w:cstheme="minorHAnsi"/>
        </w:rPr>
        <w:t>szczeniem wykorzystania indywidualnych</w:t>
      </w:r>
      <w:r w:rsidRPr="00CF2F19">
        <w:rPr>
          <w:rFonts w:asciiTheme="minorHAnsi" w:hAnsiTheme="minorHAnsi" w:cstheme="minorHAnsi"/>
        </w:rPr>
        <w:t xml:space="preserve"> ujęć, realizowanych w sposób zgodny z przepisami odrębnymi dotyczącymi gospodarowania wodami i ochrony wód podziemnych.</w:t>
      </w:r>
    </w:p>
    <w:p w:rsidR="0010063F" w:rsidRPr="00CF2F19" w:rsidRDefault="008E69EC" w:rsidP="00BB1826">
      <w:pPr>
        <w:pStyle w:val="Akapitzlist"/>
        <w:numPr>
          <w:ilvl w:val="1"/>
          <w:numId w:val="1"/>
        </w:numPr>
        <w:spacing w:before="240" w:line="276" w:lineRule="auto"/>
        <w:ind w:left="794" w:hanging="369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</w:rPr>
        <w:t>Sposób realizacji wymogów określonych w art. 1 ust. 3 ustawy</w:t>
      </w:r>
      <w:r w:rsidRPr="00CF2F19">
        <w:rPr>
          <w:rFonts w:asciiTheme="minorHAnsi" w:hAnsiTheme="minorHAnsi" w:cstheme="minorHAnsi"/>
        </w:rPr>
        <w:t>:</w:t>
      </w:r>
    </w:p>
    <w:p w:rsidR="0010063F" w:rsidRPr="00CF2F19" w:rsidRDefault="008E69EC" w:rsidP="00BB1826">
      <w:pPr>
        <w:pStyle w:val="Akapitzlist"/>
        <w:spacing w:before="120" w:line="276" w:lineRule="auto"/>
        <w:ind w:left="42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Ustalając przeznaczenie terenu, a także określając potencjalny sposób zagospodarowania i korzystania z terenu, organ zważy interes publiczny i interesy prywatne w tym zgłaszane w postaci wniosków i uwag, zmierzające do ochrony istniejącego stanu zagospodarowania </w:t>
      </w:r>
      <w:r w:rsidRPr="00CF2F19">
        <w:rPr>
          <w:rFonts w:asciiTheme="minorHAnsi" w:hAnsiTheme="minorHAnsi" w:cstheme="minorHAnsi"/>
        </w:rPr>
        <w:lastRenderedPageBreak/>
        <w:t>terenu, jak i zmian w zakresie jego zagospodarowania, a także analizy ekonomiczne, środowiskowe i społeczne. Spełnienie ww. wymogów nastąpiło poprzez:</w:t>
      </w:r>
    </w:p>
    <w:p w:rsidR="0010063F" w:rsidRPr="00CF2F19" w:rsidRDefault="008E69EC" w:rsidP="00BB1826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opracowanie projektu planu z uwzględnieniem ustaleń zawartych w opracowaniu ekofizjograficznym,</w:t>
      </w:r>
    </w:p>
    <w:p w:rsidR="0010063F" w:rsidRPr="00CF2F19" w:rsidRDefault="008E69EC" w:rsidP="00BB1826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analizę ustaleń wydanych decyzji o warunkach zabudowy i zagospodarowania terenu dla terenów znajdujących się na obszarze objętym projektem planu,</w:t>
      </w:r>
    </w:p>
    <w:p w:rsidR="0010063F" w:rsidRPr="00CF2F19" w:rsidRDefault="008E69EC" w:rsidP="00BB1826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opracowanie projektu planu z jak największym poszanowaniem istniejących podziałów geodezyjnych i istniejącego zagospodarowania terenów;</w:t>
      </w:r>
    </w:p>
    <w:p w:rsidR="0010063F" w:rsidRPr="00CF2F19" w:rsidRDefault="008E69EC" w:rsidP="00BB1826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i/>
          <w:color w:val="0070C0"/>
        </w:rPr>
        <w:t>rozpatrzenie uwag, które wpłynęły do projektu planu wyłożonego do publicznego wglądu.*</w:t>
      </w:r>
    </w:p>
    <w:p w:rsidR="0010063F" w:rsidRPr="00CF2F19" w:rsidRDefault="008E69EC" w:rsidP="00BB1826">
      <w:pPr>
        <w:pStyle w:val="Akapitzlist"/>
        <w:numPr>
          <w:ilvl w:val="1"/>
          <w:numId w:val="1"/>
        </w:numPr>
        <w:spacing w:before="240" w:line="276" w:lineRule="auto"/>
        <w:ind w:left="794" w:hanging="369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</w:rPr>
        <w:t>Sposób realizacji wymogów określonych w art. 1 ust. 4 ustawy</w:t>
      </w:r>
      <w:r w:rsidRPr="00CF2F19">
        <w:rPr>
          <w:rFonts w:asciiTheme="minorHAnsi" w:hAnsiTheme="minorHAnsi" w:cstheme="minorHAnsi"/>
        </w:rPr>
        <w:t>:</w:t>
      </w:r>
    </w:p>
    <w:p w:rsidR="0010063F" w:rsidRPr="00CF2F19" w:rsidRDefault="008E69EC" w:rsidP="00BB1826">
      <w:pPr>
        <w:pStyle w:val="Akapitzlist"/>
        <w:spacing w:before="120" w:line="276" w:lineRule="auto"/>
        <w:ind w:left="42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 przypadku sytuowania nowej zabudowy, uwzględnienie wymagań ładu przestrzennego, efektywnego gospodarowania przestrzenią oraz walorów ekonomicznych przestrzeni następuje poprzez:</w:t>
      </w:r>
    </w:p>
    <w:p w:rsidR="0010063F" w:rsidRPr="00CF2F19" w:rsidRDefault="008E69EC" w:rsidP="00BB1826">
      <w:pPr>
        <w:pStyle w:val="Akapitzlist"/>
        <w:numPr>
          <w:ilvl w:val="0"/>
          <w:numId w:val="3"/>
        </w:numPr>
        <w:spacing w:before="120" w:line="276" w:lineRule="auto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kształtowanie struktur przestrzennych przy uwzględnieniu dążenia do minimalizowania transportochłonności układu przestrzennego</w:t>
      </w:r>
    </w:p>
    <w:p w:rsidR="0010063F" w:rsidRPr="00CF2F19" w:rsidRDefault="008E69EC" w:rsidP="00BB1826">
      <w:pPr>
        <w:pStyle w:val="Akapitzlist"/>
        <w:spacing w:before="120" w:line="276" w:lineRule="auto"/>
        <w:ind w:left="77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Wymóg ten został spełniony poprzez zaplanowanie nowej struktury przestrzennej w oparciu o istniejący układ komunikacyjny.</w:t>
      </w:r>
    </w:p>
    <w:p w:rsidR="0010063F" w:rsidRPr="00CF2F19" w:rsidRDefault="008E69EC" w:rsidP="00BB1826">
      <w:pPr>
        <w:pStyle w:val="Akapitzlist"/>
        <w:numPr>
          <w:ilvl w:val="0"/>
          <w:numId w:val="3"/>
        </w:numPr>
        <w:spacing w:before="120" w:line="276" w:lineRule="auto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lokalizowanie nowej zabudowy mieszkaniowej w sposób umożliwiający mieszkańcom maksymalne wykorzystanie publicznego transportu zbiorowego jako podstawowego środka transportu</w:t>
      </w:r>
    </w:p>
    <w:p w:rsidR="0010063F" w:rsidRPr="00CF2F19" w:rsidRDefault="00226F10" w:rsidP="00BB1826">
      <w:pPr>
        <w:pStyle w:val="Akapitzlist"/>
        <w:spacing w:before="120" w:line="276" w:lineRule="auto"/>
        <w:ind w:left="77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color w:val="000000" w:themeColor="text1"/>
        </w:rPr>
        <w:t>w bezpośrednim</w:t>
      </w:r>
      <w:r w:rsidR="008E69EC" w:rsidRPr="00CF2F19">
        <w:rPr>
          <w:rFonts w:asciiTheme="minorHAnsi" w:hAnsiTheme="minorHAnsi" w:cstheme="minorHAnsi"/>
          <w:color w:val="FF0000"/>
        </w:rPr>
        <w:t xml:space="preserve"> </w:t>
      </w:r>
      <w:r w:rsidRPr="00CF2F19">
        <w:rPr>
          <w:rFonts w:asciiTheme="minorHAnsi" w:hAnsiTheme="minorHAnsi" w:cstheme="minorHAnsi"/>
        </w:rPr>
        <w:t xml:space="preserve">sąsiedztwie </w:t>
      </w:r>
      <w:r w:rsidR="008E69EC" w:rsidRPr="00CF2F19">
        <w:rPr>
          <w:rFonts w:asciiTheme="minorHAnsi" w:hAnsiTheme="minorHAnsi" w:cstheme="minorHAnsi"/>
        </w:rPr>
        <w:t>teren</w:t>
      </w:r>
      <w:r w:rsidRPr="00CF2F19">
        <w:rPr>
          <w:rFonts w:asciiTheme="minorHAnsi" w:hAnsiTheme="minorHAnsi" w:cstheme="minorHAnsi"/>
        </w:rPr>
        <w:t>u</w:t>
      </w:r>
      <w:r w:rsidR="008E69EC" w:rsidRPr="00CF2F19">
        <w:rPr>
          <w:rFonts w:asciiTheme="minorHAnsi" w:hAnsiTheme="minorHAnsi" w:cstheme="minorHAnsi"/>
        </w:rPr>
        <w:t xml:space="preserve"> objęt</w:t>
      </w:r>
      <w:r w:rsidRPr="00CF2F19">
        <w:rPr>
          <w:rFonts w:asciiTheme="minorHAnsi" w:hAnsiTheme="minorHAnsi" w:cstheme="minorHAnsi"/>
        </w:rPr>
        <w:t>ego</w:t>
      </w:r>
      <w:r w:rsidR="008E69EC" w:rsidRPr="00CF2F19">
        <w:rPr>
          <w:rFonts w:asciiTheme="minorHAnsi" w:hAnsiTheme="minorHAnsi" w:cstheme="minorHAnsi"/>
        </w:rPr>
        <w:t xml:space="preserve"> projektem planu przebiegają trasy publicznego transportu zbiorowego, które mogą być wykorzystywane</w:t>
      </w:r>
      <w:r w:rsidR="008E69EC" w:rsidRPr="00CF2F19">
        <w:rPr>
          <w:rFonts w:asciiTheme="minorHAnsi" w:hAnsiTheme="minorHAnsi" w:cstheme="minorHAnsi"/>
          <w:color w:val="000000" w:themeColor="text1"/>
        </w:rPr>
        <w:t xml:space="preserve"> dla potrzeb obsługi mieszkańców, bez konieczności rozbudowy sieci publicznego transportu zbiorowego.</w:t>
      </w:r>
    </w:p>
    <w:p w:rsidR="0010063F" w:rsidRPr="00CF2F19" w:rsidRDefault="008E69EC" w:rsidP="00BB1826">
      <w:pPr>
        <w:pStyle w:val="Akapitzlist"/>
        <w:numPr>
          <w:ilvl w:val="0"/>
          <w:numId w:val="3"/>
        </w:numPr>
        <w:spacing w:before="120" w:line="276" w:lineRule="auto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zapewnianie rozwiązań przestrzennych, ułatwiających przemieszczanie się pieszych i rowerzystów</w:t>
      </w:r>
    </w:p>
    <w:p w:rsidR="0050237B" w:rsidRPr="00CF2F19" w:rsidRDefault="0050237B" w:rsidP="00BB1826">
      <w:pPr>
        <w:pStyle w:val="Akapitzlist"/>
        <w:spacing w:before="120" w:line="276" w:lineRule="auto"/>
        <w:ind w:left="77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Obszar objęty projektem planu jest obszarem zainwestowanym, z istniejącym układem komunikacyjnym, który zapewnia rozwiązania przestrzenne, ułatwiające przemieszczanie się pieszych i rowerzystów. Projekt planu uzupełnia istniejący układ komunikacyjny o ciągi piesze i</w:t>
      </w:r>
      <w:r w:rsidR="00F0554A" w:rsidRPr="00CF2F19">
        <w:rPr>
          <w:rFonts w:asciiTheme="minorHAnsi" w:hAnsiTheme="minorHAnsi" w:cstheme="minorHAnsi"/>
        </w:rPr>
        <w:t> </w:t>
      </w:r>
      <w:r w:rsidRPr="00CF2F19">
        <w:rPr>
          <w:rFonts w:asciiTheme="minorHAnsi" w:hAnsiTheme="minorHAnsi" w:cstheme="minorHAnsi"/>
        </w:rPr>
        <w:t>dro</w:t>
      </w:r>
      <w:r w:rsidR="00E9560F" w:rsidRPr="00CF2F19">
        <w:rPr>
          <w:rFonts w:asciiTheme="minorHAnsi" w:hAnsiTheme="minorHAnsi" w:cstheme="minorHAnsi"/>
        </w:rPr>
        <w:t>gi rowerowe w terenach zieleni</w:t>
      </w:r>
      <w:r w:rsidRPr="00CF2F19">
        <w:rPr>
          <w:rFonts w:asciiTheme="minorHAnsi" w:hAnsiTheme="minorHAnsi" w:cstheme="minorHAnsi"/>
        </w:rPr>
        <w:t>.</w:t>
      </w:r>
    </w:p>
    <w:p w:rsidR="0010063F" w:rsidRPr="00CF2F19" w:rsidRDefault="008E69EC" w:rsidP="00BB1826">
      <w:pPr>
        <w:pStyle w:val="Akapitzlist"/>
        <w:numPr>
          <w:ilvl w:val="0"/>
          <w:numId w:val="3"/>
        </w:numPr>
        <w:spacing w:before="120" w:line="276" w:lineRule="auto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u w:val="single"/>
        </w:rPr>
        <w:t>dążenie do planowania i lokalizowania nowej zabudowy na obszarach o w pełni wykształconej zwartej strukturze funkcjonalno-przestrzennej, w szczególności poprzez uzupełnianie istniejącej zabudowy</w:t>
      </w:r>
    </w:p>
    <w:p w:rsidR="0010063F" w:rsidRPr="00CF2F19" w:rsidRDefault="008E69EC" w:rsidP="00BB1826">
      <w:pPr>
        <w:pStyle w:val="Akapitzlist"/>
        <w:spacing w:before="120" w:line="276" w:lineRule="auto"/>
        <w:ind w:left="775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Obszar objęty projektem planu jest obszarem zainwestowanym, na którym występuje </w:t>
      </w:r>
      <w:r w:rsidR="00941DAD" w:rsidRPr="00CF2F19">
        <w:rPr>
          <w:rFonts w:asciiTheme="minorHAnsi" w:hAnsiTheme="minorHAnsi" w:cstheme="minorHAnsi"/>
        </w:rPr>
        <w:t xml:space="preserve">przede wszystkim </w:t>
      </w:r>
      <w:r w:rsidRPr="00CF2F19">
        <w:rPr>
          <w:rFonts w:asciiTheme="minorHAnsi" w:hAnsiTheme="minorHAnsi" w:cstheme="minorHAnsi"/>
        </w:rPr>
        <w:t xml:space="preserve">zabudowa o funkcji </w:t>
      </w:r>
      <w:r w:rsidR="00CA54F1" w:rsidRPr="00CF2F19">
        <w:rPr>
          <w:rFonts w:asciiTheme="minorHAnsi" w:hAnsiTheme="minorHAnsi" w:cstheme="minorHAnsi"/>
          <w:color w:val="000000" w:themeColor="text1"/>
        </w:rPr>
        <w:t>mieszkaniowej</w:t>
      </w:r>
      <w:r w:rsidR="00CA54F1" w:rsidRPr="00CF2F19">
        <w:rPr>
          <w:rFonts w:asciiTheme="minorHAnsi" w:hAnsiTheme="minorHAnsi" w:cstheme="minorHAnsi"/>
        </w:rPr>
        <w:t xml:space="preserve"> </w:t>
      </w:r>
      <w:r w:rsidR="00CA54F1" w:rsidRPr="00CF2F19">
        <w:rPr>
          <w:rFonts w:asciiTheme="minorHAnsi" w:hAnsiTheme="minorHAnsi" w:cstheme="minorHAnsi"/>
          <w:color w:val="000000" w:themeColor="text1"/>
        </w:rPr>
        <w:t>oraz</w:t>
      </w:r>
      <w:r w:rsidR="00CA54F1" w:rsidRPr="00CF2F19">
        <w:rPr>
          <w:rFonts w:asciiTheme="minorHAnsi" w:hAnsiTheme="minorHAnsi" w:cstheme="minorHAnsi"/>
        </w:rPr>
        <w:t xml:space="preserve"> </w:t>
      </w:r>
      <w:r w:rsidRPr="00CF2F19">
        <w:rPr>
          <w:rFonts w:asciiTheme="minorHAnsi" w:hAnsiTheme="minorHAnsi" w:cstheme="minorHAnsi"/>
        </w:rPr>
        <w:t>usługowej. Projekt planu przewiduje uporządkowanie i uzupełnienie istniejącej na tym obszarze struktury funkcjonalno – przestrzennej w związku z czym powyższy wymóg został spełniony.</w:t>
      </w:r>
    </w:p>
    <w:p w:rsidR="0010063F" w:rsidRPr="00CF2F19" w:rsidRDefault="008E69EC" w:rsidP="00BB1826">
      <w:pPr>
        <w:pStyle w:val="Akapitzlist"/>
        <w:numPr>
          <w:ilvl w:val="0"/>
          <w:numId w:val="1"/>
        </w:numPr>
        <w:spacing w:before="240" w:line="276" w:lineRule="auto"/>
        <w:ind w:left="425" w:hanging="425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  <w:u w:val="single"/>
        </w:rPr>
        <w:t>Zgodność z wynikami Analizy zmian w zagospodarowaniu przestrzennym</w:t>
      </w:r>
    </w:p>
    <w:p w:rsidR="00CA54F1" w:rsidRPr="00CF2F19" w:rsidRDefault="00CA54F1" w:rsidP="00BB1826">
      <w:pPr>
        <w:pStyle w:val="Akapitzlist"/>
        <w:spacing w:before="120" w:line="276" w:lineRule="auto"/>
        <w:ind w:left="426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lastRenderedPageBreak/>
        <w:t xml:space="preserve">Dla obszaru miasta Tomaszowa Mazowieckiego wykonano w 2020 r. Analizę zmian w zagospodarowaniu przestrzennym miasta Tomaszowa Mazowieckiego w latach 2014-2019, której wyniki zostały przyjęte przez Radę Miejską Tomaszowa Mazowieckiego uchwałą nr XXXI/237/2020 z dnia 27 sierpnia 2020 r. w sprawie aktualności Studium uwarunkowań </w:t>
      </w:r>
      <w:r w:rsidR="009A4C53" w:rsidRPr="00CF2F19">
        <w:rPr>
          <w:rFonts w:asciiTheme="minorHAnsi" w:hAnsiTheme="minorHAnsi" w:cstheme="minorHAnsi"/>
        </w:rPr>
        <w:br/>
      </w:r>
      <w:r w:rsidRPr="00CF2F19">
        <w:rPr>
          <w:rFonts w:asciiTheme="minorHAnsi" w:hAnsiTheme="minorHAnsi" w:cstheme="minorHAnsi"/>
        </w:rPr>
        <w:t>i kierunków zagospodarowania przestrzennego miasta Tomaszowa Mazowieckiego oraz miejscowych planów zagospodarowania przestrzennego.</w:t>
      </w:r>
    </w:p>
    <w:p w:rsidR="00272C09" w:rsidRPr="00CF2F19" w:rsidRDefault="00CA54F1" w:rsidP="00BB1826">
      <w:pPr>
        <w:pStyle w:val="Akapitzlist"/>
        <w:spacing w:before="120" w:line="276" w:lineRule="auto"/>
        <w:ind w:left="426" w:firstLine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 uchwale tej stwierdzono potrzebę kontynuacji prac nad projektami miejscowych planów zagospodarowania przestrzennego dla obszarów, w stosunku do których podjęto uchwały o przystąpieniu do sporządzania planu miejscowego. Zatem, potwierdzono zasadność i potrzebę</w:t>
      </w:r>
      <w:r w:rsidRPr="00CF2F19">
        <w:rPr>
          <w:rFonts w:asciiTheme="minorHAnsi" w:hAnsiTheme="minorHAnsi" w:cstheme="minorHAnsi"/>
          <w:color w:val="00B050"/>
        </w:rPr>
        <w:t xml:space="preserve"> </w:t>
      </w:r>
      <w:r w:rsidRPr="00CF2F19">
        <w:rPr>
          <w:rFonts w:asciiTheme="minorHAnsi" w:hAnsiTheme="minorHAnsi" w:cstheme="minorHAnsi"/>
        </w:rPr>
        <w:t xml:space="preserve">kontynuowania procedury planistycznej dotyczącej miejscowego planu zagospodarowania przestrzennego obszaru położonego w rejonie ulic: Zawadzkiej, Mostowej i Rudej w Tomaszowie Mazowieckim, która została zainicjowana uchwałą Nr XVI/123/2019 </w:t>
      </w:r>
      <w:r w:rsidRPr="00CF2F19">
        <w:rPr>
          <w:rFonts w:asciiTheme="minorHAnsi" w:hAnsiTheme="minorHAnsi" w:cstheme="minorHAnsi"/>
          <w:shd w:val="clear" w:color="auto" w:fill="FFFFFF"/>
        </w:rPr>
        <w:t xml:space="preserve">Rady Miejskiej Tomaszowa Mazowieckiego z dnia </w:t>
      </w:r>
      <w:r w:rsidRPr="00CF2F19">
        <w:rPr>
          <w:rFonts w:asciiTheme="minorHAnsi" w:hAnsiTheme="minorHAnsi" w:cstheme="minorHAnsi"/>
        </w:rPr>
        <w:t xml:space="preserve">29 sierpnia 2019 </w:t>
      </w:r>
      <w:r w:rsidRPr="00CF2F19">
        <w:rPr>
          <w:rFonts w:asciiTheme="minorHAnsi" w:hAnsiTheme="minorHAnsi" w:cstheme="minorHAnsi"/>
          <w:shd w:val="clear" w:color="auto" w:fill="FFFFFF"/>
        </w:rPr>
        <w:t>roku.</w:t>
      </w:r>
    </w:p>
    <w:p w:rsidR="0010063F" w:rsidRPr="00CF2F19" w:rsidRDefault="008E69EC" w:rsidP="00BB1826">
      <w:pPr>
        <w:pStyle w:val="Akapitzlist"/>
        <w:numPr>
          <w:ilvl w:val="0"/>
          <w:numId w:val="1"/>
        </w:numPr>
        <w:spacing w:before="240" w:line="276" w:lineRule="auto"/>
        <w:ind w:left="425" w:hanging="425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  <w:u w:val="single"/>
        </w:rPr>
        <w:t>Wpływ na finanse publiczne, w tym budżet gminy</w:t>
      </w:r>
    </w:p>
    <w:p w:rsidR="009A4C53" w:rsidRPr="00CF2F19" w:rsidRDefault="008E69EC" w:rsidP="00BB1826">
      <w:pPr>
        <w:spacing w:line="276" w:lineRule="auto"/>
        <w:ind w:firstLine="1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W ramach procedury planistycznej sporządzono prognozę skutków finansowych uchwalenia planu miejscowego, przyjmując 5-cio letni okres prognozowania wielkości nakładów i dochodów gminy związanych z uchwaleniem planu. Przeprowadzona w powyższym opracowaniu </w:t>
      </w:r>
      <w:r w:rsidR="009A4C53" w:rsidRPr="00CF2F19">
        <w:rPr>
          <w:rFonts w:asciiTheme="minorHAnsi" w:hAnsiTheme="minorHAnsi" w:cstheme="minorHAnsi"/>
        </w:rPr>
        <w:t xml:space="preserve">ocena efektywności ekonomicznej inwestycji, jaką jest realizacja ustaleń miejscowego planu zagospodarowania przestrzennego zarówno w ujęciu statycznym, jak i dynamicznym dała wynik zbliżony do 0. Wynik  prognozy wynika z potencjalnego dochodu związanego ze zbyciem nieruchomości położonych </w:t>
      </w:r>
      <w:r w:rsidR="009A4C53" w:rsidRPr="00CF2F19">
        <w:rPr>
          <w:rFonts w:asciiTheme="minorHAnsi" w:hAnsiTheme="minorHAnsi" w:cstheme="minorHAnsi"/>
        </w:rPr>
        <w:br/>
        <w:t xml:space="preserve">w jednostkach 1.05.MN, 1.06.MN oraz 1.07.MN (potencjalny wzrost podatku od czynności cywilno-prawnych) oraz kosztu sporządzenia planu. </w:t>
      </w:r>
    </w:p>
    <w:p w:rsidR="00F900C7" w:rsidRPr="00CF2F19" w:rsidRDefault="009A4C53" w:rsidP="00BB1826">
      <w:pPr>
        <w:spacing w:line="276" w:lineRule="auto"/>
        <w:ind w:firstLine="1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Celem gospodarki przestrzennej nie jest jedynie maksymalizacja efektu ekonomicznego, ale także porządkowanie przestrzeni, z uwzględnieniem ładu przestrzennego, które tworzy harmonijną całość oraz uwzględnia w uporządkowanych relacjach wszelkie uwarunkowania i wymagania funkcjonalne, społeczno-gospodarcze, środowiskowe, kulturowe oraz kompozycyjno-estetyczne. Kryterium ekonomiczne nie może być jedynym kryterium wyboru wariantu lub (nie)przyjęcia planu, gdyż inne cele, np. społeczne, czy efekty przestrzenne mogą wpłynąć pozytywnie na rozwój obszaru.</w:t>
      </w:r>
    </w:p>
    <w:p w:rsidR="00890643" w:rsidRPr="00CF2F19" w:rsidRDefault="00F900C7" w:rsidP="00BB1826">
      <w:pPr>
        <w:pStyle w:val="Akapitzlist"/>
        <w:numPr>
          <w:ilvl w:val="0"/>
          <w:numId w:val="1"/>
        </w:numPr>
        <w:spacing w:before="240" w:line="276" w:lineRule="auto"/>
        <w:ind w:left="425" w:hanging="425"/>
        <w:contextualSpacing w:val="0"/>
        <w:jc w:val="left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  <w:b/>
          <w:u w:val="single"/>
        </w:rPr>
        <w:t>Dodatkowe wyjaśnienia</w:t>
      </w:r>
    </w:p>
    <w:p w:rsidR="00F23E04" w:rsidRPr="00CF2F19" w:rsidRDefault="00F23E04" w:rsidP="00BB1826">
      <w:pPr>
        <w:pStyle w:val="mputekstw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W pasie terenu zlokalizowanym wzdłuż południowej granicy ulicy Mostowej istnieje zabudowa mieszkaniowa jednorodzinna oraz wydano decyzj</w:t>
      </w:r>
      <w:r w:rsidR="003A23C4" w:rsidRPr="00CF2F19">
        <w:rPr>
          <w:rFonts w:asciiTheme="minorHAnsi" w:hAnsiTheme="minorHAnsi" w:cstheme="minorHAnsi"/>
        </w:rPr>
        <w:t>e o warunkach zabudowy w związku z czym</w:t>
      </w:r>
      <w:r w:rsidRPr="00CF2F19">
        <w:rPr>
          <w:rFonts w:asciiTheme="minorHAnsi" w:hAnsiTheme="minorHAnsi" w:cstheme="minorHAnsi"/>
        </w:rPr>
        <w:t xml:space="preserve"> jest bardzo duże prawdopodobieństwo, że w tym rejonie będzie się rozwijać zabudowa mieszkaniowa jednorodzinna. </w:t>
      </w:r>
    </w:p>
    <w:p w:rsidR="00F23E04" w:rsidRPr="00CF2F19" w:rsidRDefault="00F23E04" w:rsidP="00BB1826">
      <w:pPr>
        <w:pStyle w:val="mputekstw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>Jednakże w obowiązującym studium uwarunkowań i kierunków zagospodarowania przestrzennego miasta Tomaszowa Mazowieckieg</w:t>
      </w:r>
      <w:r w:rsidR="003A23C4" w:rsidRPr="00CF2F19">
        <w:rPr>
          <w:rFonts w:asciiTheme="minorHAnsi" w:hAnsiTheme="minorHAnsi" w:cstheme="minorHAnsi"/>
        </w:rPr>
        <w:t>o teren ten położony jest</w:t>
      </w:r>
      <w:r w:rsidRPr="00CF2F19">
        <w:rPr>
          <w:rFonts w:asciiTheme="minorHAnsi" w:hAnsiTheme="minorHAnsi" w:cstheme="minorHAnsi"/>
        </w:rPr>
        <w:t xml:space="preserve"> w strefie przyrodniczo – ekologicznej III obejmującej tereny Rł – Łąki i zieleń naturalna.</w:t>
      </w:r>
    </w:p>
    <w:p w:rsidR="007069CB" w:rsidRPr="00CF2F19" w:rsidRDefault="00F23E04" w:rsidP="00BB1826">
      <w:pPr>
        <w:pStyle w:val="mputekstw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lastRenderedPageBreak/>
        <w:t xml:space="preserve">Mając na uwadze powyższe przeanalizowano ustalenia studium pod kątem możliwości skorygowania granic poszczególnych jednostek przestrzennych. Stwierdzono, że </w:t>
      </w:r>
      <w:r w:rsidR="00F900C7" w:rsidRPr="00CF2F19">
        <w:rPr>
          <w:rFonts w:asciiTheme="minorHAnsi" w:hAnsiTheme="minorHAnsi" w:cstheme="minorHAnsi"/>
        </w:rPr>
        <w:t>z</w:t>
      </w:r>
      <w:r w:rsidR="007069CB" w:rsidRPr="00CF2F19">
        <w:rPr>
          <w:rFonts w:asciiTheme="minorHAnsi" w:hAnsiTheme="minorHAnsi" w:cstheme="minorHAnsi"/>
        </w:rPr>
        <w:t xml:space="preserve">godnie </w:t>
      </w:r>
      <w:r w:rsidR="003A23C4" w:rsidRPr="00CF2F19">
        <w:rPr>
          <w:rFonts w:asciiTheme="minorHAnsi" w:hAnsiTheme="minorHAnsi" w:cstheme="minorHAnsi"/>
        </w:rPr>
        <w:br/>
      </w:r>
      <w:r w:rsidR="007069CB" w:rsidRPr="00CF2F19">
        <w:rPr>
          <w:rFonts w:asciiTheme="minorHAnsi" w:hAnsiTheme="minorHAnsi" w:cstheme="minorHAnsi"/>
        </w:rPr>
        <w:t xml:space="preserve">z ustaleniami </w:t>
      </w:r>
      <w:r w:rsidRPr="00CF2F19">
        <w:rPr>
          <w:rFonts w:asciiTheme="minorHAnsi" w:hAnsiTheme="minorHAnsi" w:cstheme="minorHAnsi"/>
        </w:rPr>
        <w:t>s</w:t>
      </w:r>
      <w:r w:rsidR="007069CB" w:rsidRPr="00CF2F19">
        <w:rPr>
          <w:rFonts w:asciiTheme="minorHAnsi" w:hAnsiTheme="minorHAnsi" w:cstheme="minorHAnsi"/>
        </w:rPr>
        <w:t>tudium (</w:t>
      </w:r>
      <w:r w:rsidR="007069CB" w:rsidRPr="00CF2F19">
        <w:rPr>
          <w:rFonts w:asciiTheme="minorHAnsi" w:hAnsiTheme="minorHAnsi" w:cstheme="minorHAnsi"/>
          <w:i/>
        </w:rPr>
        <w:t xml:space="preserve">punkt III.4.1 </w:t>
      </w:r>
      <w:r w:rsidR="00890643" w:rsidRPr="00CF2F19">
        <w:rPr>
          <w:rFonts w:asciiTheme="minorHAnsi" w:hAnsiTheme="minorHAnsi" w:cstheme="minorHAnsi"/>
          <w:i/>
        </w:rPr>
        <w:t xml:space="preserve">Strefy polityki przestrzennej </w:t>
      </w:r>
      <w:r w:rsidR="007069CB" w:rsidRPr="00CF2F19">
        <w:rPr>
          <w:rFonts w:asciiTheme="minorHAnsi" w:hAnsiTheme="minorHAnsi" w:cstheme="minorHAnsi"/>
          <w:i/>
        </w:rPr>
        <w:t xml:space="preserve">- </w:t>
      </w:r>
      <w:r w:rsidR="00890643" w:rsidRPr="00CF2F19">
        <w:rPr>
          <w:rFonts w:asciiTheme="minorHAnsi" w:hAnsiTheme="minorHAnsi" w:cstheme="minorHAnsi"/>
          <w:i/>
        </w:rPr>
        <w:t>ustalenia dla całego miasta</w:t>
      </w:r>
      <w:r w:rsidR="00890643" w:rsidRPr="00CF2F19">
        <w:rPr>
          <w:rFonts w:asciiTheme="minorHAnsi" w:hAnsiTheme="minorHAnsi" w:cstheme="minorHAnsi"/>
        </w:rPr>
        <w:t>)</w:t>
      </w:r>
      <w:r w:rsidR="007069CB" w:rsidRPr="00CF2F19">
        <w:rPr>
          <w:rFonts w:asciiTheme="minorHAnsi" w:hAnsiTheme="minorHAnsi" w:cstheme="minorHAnsi"/>
        </w:rPr>
        <w:t xml:space="preserve"> w</w:t>
      </w:r>
      <w:r w:rsidR="00890643" w:rsidRPr="00CF2F19">
        <w:rPr>
          <w:rFonts w:asciiTheme="minorHAnsi" w:hAnsiTheme="minorHAnsi" w:cstheme="minorHAnsi"/>
        </w:rPr>
        <w:t xml:space="preserve">szystkie tereny o określonym przeznaczeniu podstawowym są terenami brutto, co oznacza, </w:t>
      </w:r>
      <w:r w:rsidR="00E1018C" w:rsidRPr="00CF2F19">
        <w:rPr>
          <w:rFonts w:asciiTheme="minorHAnsi" w:hAnsiTheme="minorHAnsi" w:cstheme="minorHAnsi"/>
        </w:rPr>
        <w:br/>
      </w:r>
      <w:r w:rsidR="00890643" w:rsidRPr="00CF2F19">
        <w:rPr>
          <w:rFonts w:asciiTheme="minorHAnsi" w:hAnsiTheme="minorHAnsi" w:cstheme="minorHAnsi"/>
        </w:rPr>
        <w:t>że mogą być na nich realizowane funkcje uzupełniające, w tym adaptacja i rozwój istniejącego już zagospodarowania w sposób nie stwarzający kolizji funkcjonalno – przestrzennych oraz infrastruktura techniczna w postaci uzbrojenia terenów i układy komunikacyjne.</w:t>
      </w:r>
      <w:r w:rsidR="007069CB" w:rsidRPr="00CF2F19">
        <w:rPr>
          <w:rFonts w:asciiTheme="minorHAnsi" w:hAnsiTheme="minorHAnsi" w:cstheme="minorHAnsi"/>
        </w:rPr>
        <w:t xml:space="preserve"> Ww. punkt Studium dopuszcza również uszczegółowienie granic poszczególnych funkcji – terenów – jednostek urbanistycznych na etapie opracowania planu miejscowego.</w:t>
      </w:r>
    </w:p>
    <w:p w:rsidR="009A4C53" w:rsidRPr="00CF2F19" w:rsidRDefault="00890643" w:rsidP="00BB1826">
      <w:pPr>
        <w:pStyle w:val="mputekstw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CF2F19">
        <w:rPr>
          <w:rFonts w:asciiTheme="minorHAnsi" w:hAnsiTheme="minorHAnsi" w:cstheme="minorHAnsi"/>
        </w:rPr>
        <w:t xml:space="preserve">W związku z powyższym </w:t>
      </w:r>
      <w:r w:rsidR="007069CB" w:rsidRPr="00CF2F19">
        <w:rPr>
          <w:rFonts w:asciiTheme="minorHAnsi" w:hAnsiTheme="minorHAnsi" w:cstheme="minorHAnsi"/>
        </w:rPr>
        <w:t xml:space="preserve">pas terenu zlokalizowany wzdłuż południowej granicy ulicy Mostowej </w:t>
      </w:r>
      <w:r w:rsidR="00F23E04" w:rsidRPr="00CF2F19">
        <w:rPr>
          <w:rFonts w:asciiTheme="minorHAnsi" w:hAnsiTheme="minorHAnsi" w:cstheme="minorHAnsi"/>
        </w:rPr>
        <w:t xml:space="preserve">jako teren, w którym następuje systematyczny rozwój zabudowy mieszkaniowej </w:t>
      </w:r>
      <w:r w:rsidR="007069CB" w:rsidRPr="00CF2F19">
        <w:rPr>
          <w:rFonts w:asciiTheme="minorHAnsi" w:hAnsiTheme="minorHAnsi" w:cstheme="minorHAnsi"/>
        </w:rPr>
        <w:t xml:space="preserve">przeznaczono </w:t>
      </w:r>
      <w:r w:rsidR="00F23E04" w:rsidRPr="00CF2F19">
        <w:rPr>
          <w:rFonts w:asciiTheme="minorHAnsi" w:hAnsiTheme="minorHAnsi" w:cstheme="minorHAnsi"/>
        </w:rPr>
        <w:t xml:space="preserve">właśnie pod taką funkcję tj. </w:t>
      </w:r>
      <w:r w:rsidR="007069CB" w:rsidRPr="00CF2F19">
        <w:rPr>
          <w:rFonts w:asciiTheme="minorHAnsi" w:hAnsiTheme="minorHAnsi" w:cstheme="minorHAnsi"/>
        </w:rPr>
        <w:t>pod tereny zabudowy mieszkaniowej (teren o symbolu 1.06.MN) pomimo iż w obowiązującym studium teren ten został zlokalizowany w strefie przyrodniczo – ekologicznej III obejmującej tereny Rł – Łąki i zieleń naturalna.</w:t>
      </w:r>
    </w:p>
    <w:p w:rsidR="0010063F" w:rsidRPr="00CF2F19" w:rsidRDefault="008E69EC" w:rsidP="00BB1826">
      <w:pPr>
        <w:spacing w:before="240" w:line="276" w:lineRule="auto"/>
        <w:ind w:firstLine="0"/>
        <w:jc w:val="left"/>
        <w:rPr>
          <w:rFonts w:asciiTheme="minorHAnsi" w:hAnsiTheme="minorHAnsi" w:cstheme="minorHAnsi"/>
          <w:i/>
          <w:iCs/>
          <w:color w:val="0066B3"/>
        </w:rPr>
      </w:pPr>
      <w:r w:rsidRPr="00CF2F19">
        <w:rPr>
          <w:rFonts w:asciiTheme="minorHAnsi" w:hAnsiTheme="minorHAnsi" w:cstheme="minorHAnsi"/>
          <w:i/>
          <w:iCs/>
          <w:color w:val="0066B3"/>
        </w:rPr>
        <w:t>*Czynności planowane na późniejszym etapie procedury planistycznej</w:t>
      </w:r>
    </w:p>
    <w:sectPr w:rsidR="0010063F" w:rsidRPr="00CF2F19">
      <w:footerReference w:type="default" r:id="rId8"/>
      <w:pgSz w:w="11906" w:h="16838"/>
      <w:pgMar w:top="1418" w:right="1134" w:bottom="1418" w:left="1418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26C" w:rsidRDefault="008E69EC">
      <w:r>
        <w:separator/>
      </w:r>
    </w:p>
  </w:endnote>
  <w:endnote w:type="continuationSeparator" w:id="0">
    <w:p w:rsidR="0087526C" w:rsidRDefault="008E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839343"/>
      <w:docPartObj>
        <w:docPartGallery w:val="Page Numbers (Bottom of Page)"/>
        <w:docPartUnique/>
      </w:docPartObj>
    </w:sdtPr>
    <w:sdtEndPr/>
    <w:sdtContent>
      <w:p w:rsidR="0010063F" w:rsidRDefault="008E69EC">
        <w:pPr>
          <w:pStyle w:val="Stopka"/>
          <w:jc w:val="center"/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C737B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26C" w:rsidRDefault="008E69EC">
      <w:r>
        <w:separator/>
      </w:r>
    </w:p>
  </w:footnote>
  <w:footnote w:type="continuationSeparator" w:id="0">
    <w:p w:rsidR="0087526C" w:rsidRDefault="008E6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375"/>
    <w:multiLevelType w:val="multilevel"/>
    <w:tmpl w:val="9DC03BC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B333BC"/>
    <w:multiLevelType w:val="multilevel"/>
    <w:tmpl w:val="F392CAF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9C01CE"/>
    <w:multiLevelType w:val="hybridMultilevel"/>
    <w:tmpl w:val="5ADAB818"/>
    <w:lvl w:ilvl="0" w:tplc="2CA4F0AA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 w:tplc="0EE24D6A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06664"/>
    <w:multiLevelType w:val="multilevel"/>
    <w:tmpl w:val="B7585D8E"/>
    <w:lvl w:ilvl="0">
      <w:start w:val="1"/>
      <w:numFmt w:val="decimal"/>
      <w:lvlText w:val="%1)"/>
      <w:lvlJc w:val="left"/>
      <w:pPr>
        <w:ind w:left="775" w:hanging="360"/>
      </w:pPr>
      <w:rPr>
        <w:color w:val="00000A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9890235"/>
    <w:multiLevelType w:val="multilevel"/>
    <w:tmpl w:val="AF3C2B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433F0CCD"/>
    <w:multiLevelType w:val="multilevel"/>
    <w:tmpl w:val="8822E250"/>
    <w:lvl w:ilvl="0">
      <w:start w:val="1"/>
      <w:numFmt w:val="decimal"/>
      <w:lvlText w:val="%1)"/>
      <w:lvlJc w:val="left"/>
      <w:pPr>
        <w:ind w:left="775" w:hanging="360"/>
      </w:pPr>
      <w:rPr>
        <w:rFonts w:ascii="Times New Roman" w:hAnsi="Times New Roman"/>
        <w:color w:val="00000A"/>
        <w:sz w:val="22"/>
        <w:szCs w:val="22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215E96"/>
    <w:multiLevelType w:val="hybridMultilevel"/>
    <w:tmpl w:val="DA36D1F0"/>
    <w:lvl w:ilvl="0" w:tplc="0415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7" w15:restartNumberingAfterBreak="0">
    <w:nsid w:val="516B3A13"/>
    <w:multiLevelType w:val="multilevel"/>
    <w:tmpl w:val="4536956A"/>
    <w:lvl w:ilvl="0">
      <w:start w:val="1"/>
      <w:numFmt w:val="decimal"/>
      <w:lvlText w:val="%1)"/>
      <w:lvlJc w:val="left"/>
      <w:pPr>
        <w:ind w:left="775" w:hanging="360"/>
      </w:pPr>
      <w:rPr>
        <w:rFonts w:ascii="Times New Roman" w:hAnsi="Times New Roman"/>
        <w:color w:val="00000A"/>
        <w:sz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952D5"/>
    <w:multiLevelType w:val="multilevel"/>
    <w:tmpl w:val="0B58913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63F"/>
    <w:rsid w:val="00072A3F"/>
    <w:rsid w:val="000B290D"/>
    <w:rsid w:val="0010063F"/>
    <w:rsid w:val="00226F10"/>
    <w:rsid w:val="00272C09"/>
    <w:rsid w:val="002F7F60"/>
    <w:rsid w:val="003A23C4"/>
    <w:rsid w:val="00431498"/>
    <w:rsid w:val="0050237B"/>
    <w:rsid w:val="00563023"/>
    <w:rsid w:val="00612204"/>
    <w:rsid w:val="007069CB"/>
    <w:rsid w:val="007D1CAE"/>
    <w:rsid w:val="0087526C"/>
    <w:rsid w:val="00890643"/>
    <w:rsid w:val="008C0BFF"/>
    <w:rsid w:val="008C737B"/>
    <w:rsid w:val="008E69EC"/>
    <w:rsid w:val="00936552"/>
    <w:rsid w:val="00941DAD"/>
    <w:rsid w:val="009A3D82"/>
    <w:rsid w:val="009A4C53"/>
    <w:rsid w:val="009C15F9"/>
    <w:rsid w:val="009C26DD"/>
    <w:rsid w:val="00AA18A0"/>
    <w:rsid w:val="00AD44EE"/>
    <w:rsid w:val="00BB1826"/>
    <w:rsid w:val="00CA54F1"/>
    <w:rsid w:val="00CB7238"/>
    <w:rsid w:val="00CF2F19"/>
    <w:rsid w:val="00D84846"/>
    <w:rsid w:val="00D95079"/>
    <w:rsid w:val="00E1018C"/>
    <w:rsid w:val="00E8178E"/>
    <w:rsid w:val="00E9560F"/>
    <w:rsid w:val="00F0554A"/>
    <w:rsid w:val="00F23E04"/>
    <w:rsid w:val="00F439CD"/>
    <w:rsid w:val="00F9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DD26D"/>
  <w15:docId w15:val="{CC9DCB5D-15B5-4998-867B-E5B158A2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3C0"/>
    <w:pPr>
      <w:ind w:left="425" w:hanging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qFormat/>
    <w:rsid w:val="00BB2DA1"/>
  </w:style>
  <w:style w:type="character" w:customStyle="1" w:styleId="fn-ref">
    <w:name w:val="fn-ref"/>
    <w:basedOn w:val="Domylnaczcionkaakapitu"/>
    <w:qFormat/>
    <w:rsid w:val="00BB2DA1"/>
  </w:style>
  <w:style w:type="character" w:customStyle="1" w:styleId="czeinternetowe">
    <w:name w:val="Łącze internetowe"/>
    <w:basedOn w:val="Domylnaczcionkaakapitu"/>
    <w:uiPriority w:val="99"/>
    <w:semiHidden/>
    <w:unhideWhenUsed/>
    <w:rsid w:val="00BB2D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F1E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F1EF6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B506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B50666"/>
    <w:rPr>
      <w:vertAlign w:val="superscript"/>
    </w:rPr>
  </w:style>
  <w:style w:type="character" w:customStyle="1" w:styleId="ListLabel1">
    <w:name w:val="ListLabel 1"/>
    <w:qFormat/>
    <w:rPr>
      <w:color w:val="00000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hAnsi="Times New Roman"/>
      <w:b/>
      <w:i w:val="0"/>
      <w:sz w:val="22"/>
      <w:szCs w:val="22"/>
    </w:rPr>
  </w:style>
  <w:style w:type="character" w:customStyle="1" w:styleId="ListLabel6">
    <w:name w:val="ListLabel 6"/>
    <w:qFormat/>
    <w:rPr>
      <w:rFonts w:ascii="Times New Roman" w:hAnsi="Times New Roman"/>
      <w:b/>
      <w:sz w:val="22"/>
      <w:szCs w:val="22"/>
    </w:rPr>
  </w:style>
  <w:style w:type="character" w:customStyle="1" w:styleId="ListLabel7">
    <w:name w:val="ListLabel 7"/>
    <w:qFormat/>
    <w:rPr>
      <w:rFonts w:ascii="Times New Roman" w:hAnsi="Times New Roman"/>
      <w:color w:val="00000A"/>
      <w:sz w:val="22"/>
      <w:szCs w:val="22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color w:val="00000A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color w:val="00000A"/>
    </w:rPr>
  </w:style>
  <w:style w:type="character" w:customStyle="1" w:styleId="ListLabel21">
    <w:name w:val="ListLabel 21"/>
    <w:qFormat/>
    <w:rPr>
      <w:rFonts w:cs="Times New Roman"/>
      <w:b/>
      <w:i w:val="0"/>
      <w:color w:val="00000A"/>
    </w:rPr>
  </w:style>
  <w:style w:type="character" w:customStyle="1" w:styleId="ListLabel22">
    <w:name w:val="ListLabel 22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b/>
      <w:i w:val="0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  <w:b/>
      <w:i w:val="0"/>
      <w:color w:val="00000A"/>
    </w:rPr>
  </w:style>
  <w:style w:type="character" w:customStyle="1" w:styleId="ListLabel46">
    <w:name w:val="ListLabel 46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47">
    <w:name w:val="ListLabel 47"/>
    <w:qFormat/>
    <w:rPr>
      <w:rFonts w:cs="Times New Roman"/>
      <w:b w:val="0"/>
    </w:rPr>
  </w:style>
  <w:style w:type="character" w:customStyle="1" w:styleId="ListLabel48">
    <w:name w:val="ListLabel 48"/>
    <w:qFormat/>
    <w:rPr>
      <w:rFonts w:cs="Times New Roman"/>
      <w:b w:val="0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  <w:i w:val="0"/>
      <w:color w:val="00000A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i w:val="0"/>
      <w:color w:val="00000A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color w:val="00000A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Znakiprzypiswdolnych">
    <w:name w:val="Znaki przypisów dolnych"/>
    <w:qFormat/>
  </w:style>
  <w:style w:type="character" w:customStyle="1" w:styleId="ListLabel466">
    <w:name w:val="ListLabel 466"/>
    <w:qFormat/>
    <w:rPr>
      <w:rFonts w:cs="Times New Roman"/>
      <w:b/>
      <w:i w:val="0"/>
      <w:color w:val="00000A"/>
    </w:rPr>
  </w:style>
  <w:style w:type="character" w:customStyle="1" w:styleId="ListLabel467">
    <w:name w:val="ListLabel 467"/>
    <w:qFormat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468">
    <w:name w:val="ListLabel 468"/>
    <w:qFormat/>
    <w:rPr>
      <w:b w:val="0"/>
    </w:rPr>
  </w:style>
  <w:style w:type="character" w:customStyle="1" w:styleId="ListLabel469">
    <w:name w:val="ListLabel 469"/>
    <w:qFormat/>
    <w:rPr>
      <w:rFonts w:ascii="Times New Roman" w:hAnsi="Times New Roman" w:cs="Times New Roman"/>
      <w:b w:val="0"/>
    </w:rPr>
  </w:style>
  <w:style w:type="character" w:customStyle="1" w:styleId="ListLabel470">
    <w:name w:val="ListLabel 470"/>
    <w:qFormat/>
    <w:rPr>
      <w:rFonts w:cs="Times New Roman"/>
    </w:rPr>
  </w:style>
  <w:style w:type="character" w:customStyle="1" w:styleId="ListLabel471">
    <w:name w:val="ListLabel 471"/>
    <w:qFormat/>
    <w:rPr>
      <w:rFonts w:cs="Times New Roman"/>
    </w:rPr>
  </w:style>
  <w:style w:type="character" w:customStyle="1" w:styleId="ListLabel472">
    <w:name w:val="ListLabel 472"/>
    <w:qFormat/>
    <w:rPr>
      <w:rFonts w:cs="Times New Roman"/>
    </w:rPr>
  </w:style>
  <w:style w:type="character" w:customStyle="1" w:styleId="ListLabel473">
    <w:name w:val="ListLabel 473"/>
    <w:qFormat/>
    <w:rPr>
      <w:rFonts w:cs="Times New Roman"/>
    </w:rPr>
  </w:style>
  <w:style w:type="character" w:customStyle="1" w:styleId="ListLabel474">
    <w:name w:val="ListLabel 474"/>
    <w:qFormat/>
    <w:rPr>
      <w:rFonts w:cs="Times New Roman"/>
    </w:rPr>
  </w:style>
  <w:style w:type="character" w:customStyle="1" w:styleId="ListLabel406">
    <w:name w:val="ListLabel 406"/>
    <w:qFormat/>
    <w:rPr>
      <w:rFonts w:ascii="Times New Roman" w:hAnsi="Times New Roman" w:cs="Times New Roman"/>
      <w:color w:val="00000A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96122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7A33C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223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1EF6"/>
    <w:rPr>
      <w:sz w:val="20"/>
      <w:szCs w:val="20"/>
    </w:rPr>
  </w:style>
  <w:style w:type="paragraph" w:customStyle="1" w:styleId="Default">
    <w:name w:val="Default"/>
    <w:qFormat/>
    <w:rsid w:val="00711600"/>
    <w:rPr>
      <w:rFonts w:ascii="Arial" w:eastAsia="Calibri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06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2C0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15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5F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basedOn w:val="Normalny"/>
    <w:rsid w:val="00890643"/>
    <w:pPr>
      <w:tabs>
        <w:tab w:val="left" w:pos="567"/>
      </w:tabs>
      <w:spacing w:line="360" w:lineRule="auto"/>
      <w:ind w:left="0" w:firstLine="0"/>
    </w:pPr>
    <w:rPr>
      <w:rFonts w:ascii="Arial" w:hAnsi="Arial"/>
      <w:sz w:val="22"/>
      <w:szCs w:val="20"/>
    </w:rPr>
  </w:style>
  <w:style w:type="paragraph" w:customStyle="1" w:styleId="mputekstw">
    <w:name w:val="mputekstw"/>
    <w:basedOn w:val="Normalny"/>
    <w:rsid w:val="007069CB"/>
    <w:pPr>
      <w:spacing w:before="100" w:beforeAutospacing="1" w:after="100" w:afterAutospacing="1"/>
      <w:ind w:left="0"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0A4B7-A814-4463-B8C3-E445CB9A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6</Pages>
  <Words>1974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Murawska</dc:creator>
  <dc:description/>
  <cp:lastModifiedBy>Michał F</cp:lastModifiedBy>
  <cp:revision>55</cp:revision>
  <cp:lastPrinted>2022-03-24T12:59:00Z</cp:lastPrinted>
  <dcterms:created xsi:type="dcterms:W3CDTF">2016-03-30T09:04:00Z</dcterms:created>
  <dcterms:modified xsi:type="dcterms:W3CDTF">2022-05-13T06:40:00Z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