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4C5BE2">
        <w:rPr>
          <w:rFonts w:ascii="Calibri" w:hAnsi="Calibri" w:cs="Calibri"/>
          <w:sz w:val="24"/>
          <w:szCs w:val="24"/>
        </w:rPr>
        <w:t xml:space="preserve">25 kwietnia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WRIK.271.1.17.2022.ZP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4C5BE2">
        <w:rPr>
          <w:rFonts w:ascii="Calibri" w:hAnsi="Calibri" w:cs="Calibri"/>
          <w:b/>
          <w:bCs/>
          <w:i/>
          <w:sz w:val="24"/>
          <w:szCs w:val="24"/>
        </w:rPr>
        <w:t>2022/BZP 00131644/01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Pr="00EF3F3E">
        <w:rPr>
          <w:rFonts w:ascii="Calibri" w:hAnsi="Calibri" w:cs="Calibri"/>
          <w:b/>
          <w:bCs/>
          <w:sz w:val="24"/>
          <w:szCs w:val="24"/>
        </w:rPr>
        <w:t>Budowa placu zabaw w Szkole Podstawowej Nr 3 w Tomaszowie Mazowieckim.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200 000,00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Poza tym: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netto: </w:t>
      </w:r>
      <w:r w:rsidR="00335A08">
        <w:rPr>
          <w:rFonts w:ascii="Calibri" w:hAnsi="Calibri" w:cs="Calibri"/>
          <w:sz w:val="24"/>
          <w:szCs w:val="24"/>
        </w:rPr>
        <w:t>158 231,71 zł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brutto: </w:t>
      </w:r>
      <w:r w:rsidR="004E272A">
        <w:rPr>
          <w:rFonts w:ascii="Calibri" w:hAnsi="Calibri" w:cs="Calibri"/>
          <w:sz w:val="24"/>
          <w:szCs w:val="24"/>
        </w:rPr>
        <w:t>194 625,00 zł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  <w:r w:rsidRPr="00EF3F3E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 xml:space="preserve">- szacunkowa wartość w przeliczeniu na euro: </w:t>
      </w:r>
      <w:r w:rsidR="004E272A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>35 528,95 euro.</w:t>
      </w: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F2262"/>
    <w:rsid w:val="00274AF7"/>
    <w:rsid w:val="00335A08"/>
    <w:rsid w:val="004C5BE2"/>
    <w:rsid w:val="004E272A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</cp:revision>
  <dcterms:created xsi:type="dcterms:W3CDTF">2022-04-15T09:37:00Z</dcterms:created>
  <dcterms:modified xsi:type="dcterms:W3CDTF">2022-04-25T06:07:00Z</dcterms:modified>
</cp:coreProperties>
</file>