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915" w:rsidRDefault="000B5915" w:rsidP="003716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right"/>
        <w:rPr>
          <w:rFonts w:ascii="Arial" w:hAnsi="Arial" w:cs="Arial"/>
        </w:rPr>
      </w:pPr>
    </w:p>
    <w:p w:rsidR="000B5915" w:rsidRDefault="000B5915" w:rsidP="000B59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0B5915">
        <w:rPr>
          <w:rFonts w:ascii="Arial" w:hAnsi="Arial" w:cs="Arial"/>
          <w:b/>
          <w:sz w:val="32"/>
          <w:szCs w:val="32"/>
        </w:rPr>
        <w:t xml:space="preserve">CZĘŚĆ IV – SWZ </w:t>
      </w:r>
    </w:p>
    <w:p w:rsidR="000B5915" w:rsidRPr="000B5915" w:rsidRDefault="000B5915" w:rsidP="000B59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0B5915">
        <w:rPr>
          <w:rFonts w:ascii="Arial" w:hAnsi="Arial" w:cs="Arial"/>
          <w:b/>
          <w:sz w:val="32"/>
          <w:szCs w:val="32"/>
        </w:rPr>
        <w:t>SZCZEGÓLOWY OPIS PRZEDMIOTU ZAMÓWIENIA</w:t>
      </w:r>
    </w:p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rPr>
          <w:rFonts w:ascii="Arial" w:hAnsi="Arial" w:cs="Arial"/>
          <w:b/>
          <w:bCs/>
        </w:rPr>
      </w:pPr>
    </w:p>
    <w:p w:rsidR="00AE3C93" w:rsidRPr="003D296D" w:rsidRDefault="00AE3C93" w:rsidP="00AE3C93">
      <w:pPr>
        <w:numPr>
          <w:ilvl w:val="0"/>
          <w:numId w:val="18"/>
        </w:numPr>
        <w:spacing w:line="360" w:lineRule="auto"/>
        <w:ind w:left="426" w:hanging="426"/>
        <w:contextualSpacing/>
        <w:jc w:val="both"/>
        <w:rPr>
          <w:rFonts w:ascii="Arial" w:hAnsi="Arial" w:cs="Arial"/>
          <w:u w:val="single"/>
        </w:rPr>
      </w:pPr>
      <w:r w:rsidRPr="003D296D">
        <w:rPr>
          <w:rFonts w:ascii="Arial" w:hAnsi="Arial" w:cs="Arial"/>
        </w:rPr>
        <w:t xml:space="preserve">Nazwa zamówienia: </w:t>
      </w:r>
      <w:r w:rsidRPr="003D296D">
        <w:rPr>
          <w:rFonts w:ascii="Arial" w:hAnsi="Arial" w:cs="Arial"/>
          <w:b/>
        </w:rPr>
        <w:t>Budowa sieci światłowodowej pomiędzy Urzędem Miasta</w:t>
      </w:r>
      <w:r w:rsidRPr="003D296D">
        <w:rPr>
          <w:rFonts w:ascii="Arial" w:hAnsi="Arial" w:cs="Arial"/>
        </w:rPr>
        <w:br/>
      </w:r>
      <w:r w:rsidRPr="003D296D">
        <w:rPr>
          <w:rFonts w:ascii="Arial" w:hAnsi="Arial" w:cs="Arial"/>
          <w:b/>
        </w:rPr>
        <w:t>a wszystkimi jednostkami włączonymi w jednolity system zarządzania.</w:t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  <w:b/>
        </w:rPr>
        <w:t xml:space="preserve">Przedmiotem zamówienia </w:t>
      </w:r>
      <w:r w:rsidRPr="003D296D">
        <w:rPr>
          <w:rFonts w:ascii="Arial" w:hAnsi="Arial" w:cs="Arial"/>
          <w:bCs/>
        </w:rPr>
        <w:t>jest wykonanie</w:t>
      </w:r>
      <w:r w:rsidRPr="003D296D">
        <w:rPr>
          <w:rFonts w:ascii="Arial" w:hAnsi="Arial" w:cs="Arial"/>
        </w:rPr>
        <w:t>sieci światłowodowej wraz z dostawą fabrycznie nowych urządzeń sieciowych.</w:t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  <w:b/>
        </w:rPr>
        <w:t xml:space="preserve">Celem zamówienia </w:t>
      </w:r>
      <w:r w:rsidRPr="003D296D">
        <w:rPr>
          <w:rFonts w:ascii="Arial" w:hAnsi="Arial" w:cs="Arial"/>
          <w:bCs/>
        </w:rPr>
        <w:t>jest stworzenie</w:t>
      </w:r>
      <w:r w:rsidRPr="003D296D">
        <w:rPr>
          <w:rFonts w:ascii="Arial" w:hAnsi="Arial" w:cs="Arial"/>
        </w:rPr>
        <w:t>bezpośredniego lub logicznego połącz</w:t>
      </w:r>
      <w:r w:rsidR="00C82CF3">
        <w:rPr>
          <w:rFonts w:ascii="Arial" w:hAnsi="Arial" w:cs="Arial"/>
        </w:rPr>
        <w:t xml:space="preserve">enia </w:t>
      </w:r>
      <w:r w:rsidR="00C82CF3">
        <w:rPr>
          <w:rFonts w:ascii="Arial" w:hAnsi="Arial" w:cs="Arial"/>
        </w:rPr>
        <w:br/>
        <w:t>w technologii Ethernet, 33</w:t>
      </w:r>
      <w:r w:rsidRPr="003D296D">
        <w:rPr>
          <w:rFonts w:ascii="Arial" w:hAnsi="Arial" w:cs="Arial"/>
        </w:rPr>
        <w:t xml:space="preserve"> jednostek podległych pod Urząd Miasta z główną serwerownią znajdującą się w Urzędzie Miasta.</w:t>
      </w:r>
    </w:p>
    <w:p w:rsidR="00AE3C93" w:rsidRPr="00C95BB7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  <w:bCs/>
        </w:rPr>
      </w:pPr>
      <w:r w:rsidRPr="003D296D">
        <w:rPr>
          <w:rFonts w:ascii="Arial" w:hAnsi="Arial" w:cs="Arial"/>
        </w:rPr>
        <w:t xml:space="preserve">Wykaz jednostek, do których należy doprowadzić światłowód w połączeniu </w:t>
      </w:r>
      <w:r w:rsidRPr="003D296D">
        <w:rPr>
          <w:rFonts w:ascii="Arial" w:hAnsi="Arial" w:cs="Arial"/>
        </w:rPr>
        <w:br/>
        <w:t xml:space="preserve">z serwerownią zlokalizowaną w budynku Urzędu Miasta w Tomaszowie Mazowieckim przy ul. POW 10/16 znajduje </w:t>
      </w:r>
      <w:r w:rsidRPr="00C95BB7">
        <w:rPr>
          <w:rFonts w:ascii="Arial" w:hAnsi="Arial" w:cs="Arial"/>
        </w:rPr>
        <w:t>się w pkt 17 niniejszego opisu</w:t>
      </w:r>
      <w:r w:rsidRPr="00C95BB7">
        <w:rPr>
          <w:rFonts w:ascii="Arial" w:hAnsi="Arial" w:cs="Arial"/>
          <w:bCs/>
        </w:rPr>
        <w:t>.</w:t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Parametry światłowodów:</w:t>
      </w:r>
    </w:p>
    <w:p w:rsidR="00AE3C93" w:rsidRPr="003D296D" w:rsidRDefault="00AE3C93" w:rsidP="00AE3C93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Światłowód jedno modowy,</w:t>
      </w:r>
    </w:p>
    <w:p w:rsidR="00AE3C93" w:rsidRPr="003D296D" w:rsidRDefault="00AE3C93" w:rsidP="00AE3C93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Minimum po dwa włókna do każdej lokalizacji,</w:t>
      </w:r>
    </w:p>
    <w:p w:rsidR="00AE3C93" w:rsidRPr="003D296D" w:rsidRDefault="00AE3C93" w:rsidP="00AE3C93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Zakończenie światłowodu mediakonwerterem lub spliterem w standardzie RJ45,</w:t>
      </w:r>
    </w:p>
    <w:p w:rsidR="00AE3C93" w:rsidRPr="003D296D" w:rsidRDefault="00AE3C93" w:rsidP="00AE3C93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Światłowód nie może być wykonany na liniach napowietrznych,</w:t>
      </w:r>
    </w:p>
    <w:p w:rsidR="00AE3C93" w:rsidRPr="003D296D" w:rsidRDefault="00AE3C93" w:rsidP="00AE3C93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Całość sieci powinna być wykonana doziemnie w wyjątkowych uzasadnionych przypadkach dopuszcza się wykonanie przyłącza od ostatniego punktu dostępowego linią  napowietrzną. Takich przypadków nie może być więcej niż 20% wszystkich przyłączy.</w:t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Wymagania zamawiającego w zakresie zapewnienia przez Wykonawcę minimalnych parametrów usługi dostępowej:</w:t>
      </w:r>
    </w:p>
    <w:p w:rsidR="00AE3C93" w:rsidRPr="003D296D" w:rsidRDefault="00AE3C93" w:rsidP="00AE3C93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Prędkość do abonenta (download) minimum 100 Mbit/s (dla lokalizacji typu Oddział),</w:t>
      </w:r>
    </w:p>
    <w:p w:rsidR="00AE3C93" w:rsidRPr="003D296D" w:rsidRDefault="00AE3C93" w:rsidP="00AE3C93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Prędkość od abonenta (upload) minimum 100 Mbit/s (dla lokalizacji typu Oddział),</w:t>
      </w:r>
    </w:p>
    <w:p w:rsidR="00AE3C93" w:rsidRPr="003D296D" w:rsidRDefault="00AE3C93" w:rsidP="00AE3C93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Dostępność usługi nie mniejsza niż 99,5 % w skali roku,</w:t>
      </w:r>
    </w:p>
    <w:p w:rsidR="00AE3C93" w:rsidRPr="003D296D" w:rsidRDefault="00AE3C93" w:rsidP="00AE3C93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Brak limitu pobieranych i wysyłanych danych oraz ograniczeń czasowych </w:t>
      </w:r>
      <w:r w:rsidRPr="003D296D">
        <w:rPr>
          <w:rFonts w:ascii="Arial" w:hAnsi="Arial" w:cs="Arial"/>
        </w:rPr>
        <w:br/>
        <w:t>w korzystaniu z usługi w okresie obowiązywania umowy,</w:t>
      </w:r>
    </w:p>
    <w:p w:rsidR="00AE3C93" w:rsidRPr="003D296D" w:rsidRDefault="00AE3C93" w:rsidP="00AE3C93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Usługa zostanie podłączona do urządzeń CPE Zamawiającego,</w:t>
      </w:r>
    </w:p>
    <w:p w:rsidR="00AE3C93" w:rsidRPr="003D296D" w:rsidRDefault="00AE3C93" w:rsidP="00AE3C93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>Zestawienie na stałe kanału logicznego w technologii Ethernet, umożliwiającego transfer danych pomiędzy lokalizacjami Klienta z określoną w Mbit/s wartością pasma,</w:t>
      </w:r>
    </w:p>
    <w:p w:rsidR="00AE3C93" w:rsidRPr="003D296D" w:rsidRDefault="00AE3C93" w:rsidP="00AE3C93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Typ połączenia : punkt – punkt, punkt – wielopunkt,</w:t>
      </w:r>
    </w:p>
    <w:p w:rsidR="00AE3C93" w:rsidRPr="003D296D" w:rsidRDefault="00AE3C93" w:rsidP="00AE3C93">
      <w:pPr>
        <w:numPr>
          <w:ilvl w:val="0"/>
          <w:numId w:val="26"/>
        </w:numPr>
        <w:spacing w:line="360" w:lineRule="auto"/>
        <w:ind w:left="993" w:hanging="567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Prędkość dostępowa dla lokalizacji typu Centrala (ul. Polskiej Organizacji Wojskowej 10/16, 97-200 Tomaszów Mazowiecki) wymaga się zapewnienia łącza minimum 800/800 Mbit/s.</w:t>
      </w:r>
    </w:p>
    <w:p w:rsidR="00AE3C93" w:rsidRPr="00C95BB7" w:rsidRDefault="00C82CF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Dostarczenie 33</w:t>
      </w:r>
      <w:r w:rsidR="00AE3C93" w:rsidRPr="003D296D">
        <w:rPr>
          <w:rFonts w:ascii="Arial" w:hAnsi="Arial" w:cs="Arial"/>
        </w:rPr>
        <w:t xml:space="preserve"> przełączników sieciowych do każdej placówki podlegającej pod Urząd Miasta w Tomaszowie Mazowieckim. </w:t>
      </w:r>
      <w:r w:rsidR="00AE3C93" w:rsidRPr="00AE3C93">
        <w:rPr>
          <w:rFonts w:ascii="Arial" w:hAnsi="Arial" w:cs="Arial"/>
        </w:rPr>
        <w:t xml:space="preserve">Wykaz placówek znajduje się w </w:t>
      </w:r>
      <w:r w:rsidR="00AE3C93" w:rsidRPr="00AE3C93">
        <w:rPr>
          <w:rFonts w:ascii="Arial" w:hAnsi="Arial" w:cs="Arial"/>
          <w:bCs/>
        </w:rPr>
        <w:t>pkt 17</w:t>
      </w:r>
      <w:r w:rsidR="00AE3C93" w:rsidRPr="00C95BB7">
        <w:rPr>
          <w:rFonts w:ascii="Arial" w:hAnsi="Arial" w:cs="Arial"/>
          <w:bCs/>
        </w:rPr>
        <w:t xml:space="preserve"> niniejszego opisu.</w:t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  <w:b/>
          <w:bCs/>
        </w:rPr>
        <w:t xml:space="preserve">Informacje dodatkowe: </w:t>
      </w:r>
      <w:r w:rsidRPr="003D296D">
        <w:rPr>
          <w:rFonts w:ascii="Arial" w:hAnsi="Arial" w:cs="Arial"/>
        </w:rPr>
        <w:t>obecna infrastruktura sieciowa w Urzędzie Miasta zbudowana jest na 33 sztukach zarządzanych przełączników firmy UbiquityUnifi. W związku z tym zasadne jest, aby zaoferowany sprzęt był tej samej firmy lub w pełni kompatybilny z wykorzystywanym przez Urząd Miasta urządzeniem UbiquitiUniFi Controller CloudKey, aby zapewnić pełną zgodność systemu. Zamawiający dopuszcza zaoferowanie urządzeń równoważnych. Opis równoważności znajduje się punkcie nr 10. W przypadku zaoferowania rozwiązania innej firmy, która nie jest w pełni równoważna wymagamy wymiany wszystkich istniejących przełączników.</w:t>
      </w:r>
    </w:p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Zamawiający sprecyzował przedmiot zamówienia poprzez wskazanie nazw producenta kierując się obiektywna przesłanką, która powoduje, że zamawiający jest już  w posiadaniu istniejącej infrastruktury i w oparciu właśnie o ten  system  możliwa będzie bezkonfliktowa współpraca ze sprzętem posiadanym przez Gminę Miasto Tomaszów Maz.</w:t>
      </w:r>
    </w:p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Takie działanie zamawiającego aprobowane jest w orzecznictwie zgodnie z którym żaden przepis prawa nie może być automatycznie stosowany w oderwaniu od realiów konkretnego stanu faktycznego z pominięciem skutków jakie może wywołać jego zastosowanie. Ustawa Prawo zamówień publicznych nie powinna być stosowana i interpretowana jedynie przez pryzmat pojmowanej absolutnie zasady równej konkurencji, a w oderwaniu od innego celu jej regulacji, jakim jest zapewnienie dokonywania racjonalnych i celowych zakupów. Nie powinna być również stosowana w swoistej próżni legislacyjnej, nie uwzględniającej zasad wyrażonych w innych przepisach, w szczególności wyrażonych w ustawie o finansach publicznych. </w:t>
      </w:r>
    </w:p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>Dopuszczenie stosowania przepisów ustawy prowadzące do narzucenia zamawiającym dokonywania zakupów, które nie odpowiadają ich potrzebom i utrudniają prowadzenie statutowej działalności nie daje się pogodzić z postulatem racjonalności ustawodawcy</w:t>
      </w:r>
    </w:p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NP. Wyrok Wojewódzkiego Sądu Administracyjnego w Łodzi z dnia 21 marca 2013 r., III SA/Łd 1089/12</w:t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</w:rPr>
      </w:pPr>
      <w:r w:rsidRPr="003D296D">
        <w:rPr>
          <w:rFonts w:ascii="Arial" w:hAnsi="Arial" w:cs="Arial"/>
          <w:b/>
        </w:rPr>
        <w:t>Specyfikacja przełącznika firmy UbiquitiUnifi: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Cechy zarządzania:</w:t>
      </w:r>
    </w:p>
    <w:p w:rsidR="00AE3C93" w:rsidRPr="003D296D" w:rsidRDefault="00AE3C93" w:rsidP="00AE3C93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Typ przełącznika: Zarządzany</w:t>
      </w:r>
    </w:p>
    <w:p w:rsidR="00AE3C93" w:rsidRPr="003D296D" w:rsidRDefault="00AE3C93" w:rsidP="00AE3C93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Przełącznik wielowarstwowy : L2/L3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Łączność:</w:t>
      </w:r>
    </w:p>
    <w:p w:rsidR="00AE3C93" w:rsidRPr="003D296D" w:rsidRDefault="00AE3C93" w:rsidP="00AE3C93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Podstawowe przełączanie RJ-45: Liczba portów Ethernet min. 24</w:t>
      </w:r>
    </w:p>
    <w:p w:rsidR="00AE3C93" w:rsidRPr="003D296D" w:rsidRDefault="00AE3C93" w:rsidP="00AE3C93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Podstawowe przełączania Ethernet RJ-45 porty typ: Gigabit Ethernet (10/100/1000)</w:t>
      </w:r>
    </w:p>
    <w:p w:rsidR="00AE3C93" w:rsidRPr="003D296D" w:rsidRDefault="00AE3C93" w:rsidP="00AE3C93">
      <w:pPr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Liczba zainstalowanych modułów SFP+: min. 2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Sieć komputerowa:</w:t>
      </w:r>
    </w:p>
    <w:p w:rsidR="00AE3C93" w:rsidRPr="003D296D" w:rsidRDefault="00AE3C93" w:rsidP="00AE3C93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Standardy komunikacyjne: IEEE 802.3af,IEEE 802.3at</w:t>
      </w:r>
    </w:p>
    <w:p w:rsidR="00AE3C93" w:rsidRPr="003D296D" w:rsidRDefault="00AE3C93" w:rsidP="00AE3C93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Dublowanie portów: Tak</w:t>
      </w:r>
    </w:p>
    <w:p w:rsidR="00AE3C93" w:rsidRPr="003D296D" w:rsidRDefault="00AE3C93" w:rsidP="00AE3C93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Pełny dupleks: Tak</w:t>
      </w:r>
    </w:p>
    <w:p w:rsidR="00AE3C93" w:rsidRPr="003D296D" w:rsidRDefault="00AE3C93" w:rsidP="00AE3C93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Podpora kontroli przepływu: Tak</w:t>
      </w:r>
    </w:p>
    <w:p w:rsidR="00AE3C93" w:rsidRPr="003D296D" w:rsidRDefault="00AE3C93" w:rsidP="00AE3C93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Automatyczne MDI/MDI-X: Tak</w:t>
      </w:r>
    </w:p>
    <w:p w:rsidR="00AE3C93" w:rsidRPr="003D296D" w:rsidRDefault="00AE3C93" w:rsidP="00AE3C93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Protokół drzewa rozpinającego: Tak</w:t>
      </w:r>
      <w:r w:rsidRPr="003D296D">
        <w:rPr>
          <w:rFonts w:ascii="Arial" w:hAnsi="Arial" w:cs="Arial"/>
          <w:bCs/>
        </w:rPr>
        <w:tab/>
      </w:r>
      <w:r w:rsidRPr="003D296D">
        <w:rPr>
          <w:rFonts w:ascii="Arial" w:hAnsi="Arial" w:cs="Arial"/>
          <w:bCs/>
        </w:rPr>
        <w:tab/>
      </w:r>
    </w:p>
    <w:p w:rsidR="00AE3C93" w:rsidRPr="003D296D" w:rsidRDefault="00AE3C93" w:rsidP="00AE3C93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Automatyczne wykrywanie: Tak</w:t>
      </w:r>
    </w:p>
    <w:p w:rsidR="00AE3C93" w:rsidRPr="003D296D" w:rsidRDefault="00AE3C93" w:rsidP="00AE3C93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Obsługa sieci VLAN: Tak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Przekazanie (audycja) Danych:</w:t>
      </w:r>
    </w:p>
    <w:p w:rsidR="00AE3C93" w:rsidRPr="003D296D" w:rsidRDefault="00AE3C93" w:rsidP="00AE3C9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Przepustowość rutowania/przełączania: 88 Gbit/s</w:t>
      </w:r>
    </w:p>
    <w:p w:rsidR="00AE3C93" w:rsidRPr="003D296D" w:rsidRDefault="00AE3C93" w:rsidP="00AE3C9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Przepustowość: 44000 Mpps</w:t>
      </w:r>
    </w:p>
    <w:p w:rsidR="00AE3C93" w:rsidRPr="003D296D" w:rsidRDefault="00AE3C93" w:rsidP="00AE3C9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Prędkość przekazywania: 65,472 Mpps</w:t>
      </w:r>
    </w:p>
    <w:p w:rsidR="00AE3C93" w:rsidRPr="003D296D" w:rsidRDefault="00AE3C93" w:rsidP="00AE3C9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Trasa statyczna: Tak</w:t>
      </w:r>
    </w:p>
    <w:p w:rsidR="00AE3C93" w:rsidRPr="003D296D" w:rsidRDefault="00AE3C93" w:rsidP="00AE3C93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Zgodny z Jumbo Frames: Tak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Ochrona:</w:t>
      </w:r>
    </w:p>
    <w:p w:rsidR="00AE3C93" w:rsidRPr="003D296D" w:rsidRDefault="00AE3C93" w:rsidP="00AE3C9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Funkcje DHCP: DHCP server</w:t>
      </w:r>
    </w:p>
    <w:p w:rsidR="00AE3C93" w:rsidRPr="003D296D" w:rsidRDefault="00AE3C93" w:rsidP="00AE3C93">
      <w:pPr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Typ uwierzytelniania: IEEE 802.1x,RADIUS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Design:</w:t>
      </w:r>
    </w:p>
    <w:p w:rsidR="00AE3C93" w:rsidRPr="003D296D" w:rsidRDefault="00AE3C93" w:rsidP="00AE3C93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Możliwości montowania w stelażu: Tak</w:t>
      </w:r>
    </w:p>
    <w:p w:rsidR="00AE3C93" w:rsidRPr="003D296D" w:rsidRDefault="00AE3C93" w:rsidP="00AE3C93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lastRenderedPageBreak/>
        <w:t>Układ: 1U</w:t>
      </w:r>
    </w:p>
    <w:p w:rsidR="00AE3C93" w:rsidRPr="003D296D" w:rsidRDefault="00AE3C93" w:rsidP="00AE3C93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Certyfikaty: CE, FCC, IC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Zarządzanie energią:</w:t>
      </w:r>
    </w:p>
    <w:p w:rsidR="00AE3C93" w:rsidRPr="003D296D" w:rsidRDefault="00AE3C93" w:rsidP="00AE3C9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Zasilacz dołączony: Tak</w:t>
      </w:r>
    </w:p>
    <w:p w:rsidR="00AE3C93" w:rsidRPr="003D296D" w:rsidRDefault="00AE3C93" w:rsidP="00AE3C9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Ilość jednostek zasilania: 1</w:t>
      </w:r>
    </w:p>
    <w:p w:rsidR="00AE3C93" w:rsidRPr="003D296D" w:rsidRDefault="00AE3C93" w:rsidP="00AE3C9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Napięcie wejściowe: AC 100 - 240 V</w:t>
      </w:r>
    </w:p>
    <w:p w:rsidR="00AE3C93" w:rsidRPr="003D296D" w:rsidRDefault="00AE3C93" w:rsidP="00AE3C9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Częstotliwość wejściowa: AC 50/60 Hz</w:t>
      </w:r>
    </w:p>
    <w:p w:rsidR="00AE3C93" w:rsidRPr="003D296D" w:rsidRDefault="00AE3C93" w:rsidP="00AE3C9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Napięcie wejściowe: DC 52 V</w:t>
      </w:r>
    </w:p>
    <w:p w:rsidR="00AE3C93" w:rsidRPr="003D296D" w:rsidRDefault="00AE3C93" w:rsidP="00AE3C9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Cs/>
        </w:rPr>
        <w:t>Prąd wejściowy: 7.69 A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Zasilanie przez Ethernet:</w:t>
      </w:r>
    </w:p>
    <w:p w:rsidR="00AE3C93" w:rsidRPr="003D296D" w:rsidRDefault="00AE3C93" w:rsidP="00AE3C93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Obsługa PoE: Tak</w:t>
      </w:r>
    </w:p>
    <w:p w:rsidR="00AE3C93" w:rsidRPr="003D296D" w:rsidRDefault="00AE3C93" w:rsidP="00AE3C93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  <w:lang w:val="en-US"/>
        </w:rPr>
      </w:pPr>
      <w:r w:rsidRPr="003D296D">
        <w:rPr>
          <w:rFonts w:ascii="Arial" w:hAnsi="Arial" w:cs="Arial"/>
          <w:bCs/>
          <w:lang w:val="en-US"/>
        </w:rPr>
        <w:t>Power over Ethernet Plus (PoE +) ilośćportów: min. 16</w:t>
      </w:r>
    </w:p>
    <w:p w:rsidR="00AE3C93" w:rsidRPr="003D296D" w:rsidRDefault="00AE3C93" w:rsidP="00AE3C93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Zasilanie przez Ethernet (PoE) zasilanie na port: min. 64 W</w:t>
      </w:r>
    </w:p>
    <w:p w:rsidR="00AE3C93" w:rsidRPr="003D296D" w:rsidRDefault="00AE3C93" w:rsidP="00AE3C93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Całkowita Power over Ethernet (PoE) budżetu: min. 400 W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Warunki zewnętrzne:</w:t>
      </w:r>
    </w:p>
    <w:p w:rsidR="00AE3C93" w:rsidRPr="003D296D" w:rsidRDefault="00AE3C93" w:rsidP="00AE3C93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Zakres temperatur (eksploatacja): -5 - 40 °C</w:t>
      </w:r>
    </w:p>
    <w:p w:rsidR="00AE3C93" w:rsidRPr="003D296D" w:rsidRDefault="00AE3C93" w:rsidP="00AE3C93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Zakres wilgotności względnej: 10 - 90%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Gwarancja minimum 24 miesiące,</w:t>
      </w:r>
      <w:r w:rsidRPr="003D296D">
        <w:rPr>
          <w:rFonts w:ascii="Arial" w:hAnsi="Arial" w:cs="Arial"/>
          <w:b/>
          <w:bCs/>
        </w:rPr>
        <w:br/>
        <w:t>lub 36 miesięcy w ramach kryterium oceny oferty.</w:t>
      </w:r>
    </w:p>
    <w:p w:rsidR="00AE3C93" w:rsidRPr="003D296D" w:rsidRDefault="00AE3C93" w:rsidP="00AE3C93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851"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Możliwość zarządzania switchem za pomocą urządzenia UbiquitiUniFi Controller CloudKey.</w:t>
      </w:r>
    </w:p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rPr>
          <w:rFonts w:ascii="Arial" w:hAnsi="Arial" w:cs="Arial"/>
          <w:b/>
          <w:bCs/>
        </w:rPr>
      </w:pP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/>
        </w:rPr>
        <w:t>Jeżeli wykonawca oferuje urządzenie równoważne, musi ono spełniać następujące parametry: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 xml:space="preserve">  Cechy zarządzania:</w:t>
      </w:r>
    </w:p>
    <w:p w:rsidR="00AE3C93" w:rsidRPr="003D296D" w:rsidRDefault="00AE3C93" w:rsidP="00AE3C93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Typ przełącznika: Zarządzany</w:t>
      </w:r>
    </w:p>
    <w:p w:rsidR="00AE3C93" w:rsidRPr="003D296D" w:rsidRDefault="00AE3C93" w:rsidP="00AE3C93">
      <w:pPr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Przełącznik wielowarstwowy : L2/L3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Łączność:</w:t>
      </w:r>
    </w:p>
    <w:p w:rsidR="00AE3C93" w:rsidRPr="003D296D" w:rsidRDefault="00AE3C93" w:rsidP="00AE3C93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Podstawowe przełączanie RJ-45: Liczba portów Ethernet min. 24</w:t>
      </w:r>
    </w:p>
    <w:p w:rsidR="00AE3C93" w:rsidRPr="003D296D" w:rsidRDefault="00AE3C93" w:rsidP="00AE3C93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Podstawowe przełączania Ethernet RJ-45 porty typ: Gigabit Ethernet (10/100/1000)</w:t>
      </w:r>
    </w:p>
    <w:p w:rsidR="00AE3C93" w:rsidRPr="003D296D" w:rsidRDefault="00AE3C93" w:rsidP="00AE3C93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right="95" w:hanging="283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Liczba zainstalowanych modułów SFP+: min. 2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Sieć komputerowa:</w:t>
      </w:r>
    </w:p>
    <w:p w:rsidR="00AE3C93" w:rsidRPr="003D296D" w:rsidRDefault="00AE3C93" w:rsidP="00AE3C93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Standardy komunikacyjne: IEEE 802.3af,IEEE 802.3at</w:t>
      </w:r>
    </w:p>
    <w:p w:rsidR="00AE3C93" w:rsidRPr="003D296D" w:rsidRDefault="00AE3C93" w:rsidP="00AE3C93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lastRenderedPageBreak/>
        <w:t>Dublowanie portów: Tak</w:t>
      </w:r>
    </w:p>
    <w:p w:rsidR="00AE3C93" w:rsidRPr="003D296D" w:rsidRDefault="00AE3C93" w:rsidP="00AE3C93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Pełny dupleks: Tak</w:t>
      </w:r>
    </w:p>
    <w:p w:rsidR="00AE3C93" w:rsidRPr="003D296D" w:rsidRDefault="00AE3C93" w:rsidP="00AE3C93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Podpora kontroli przepływu: Tak</w:t>
      </w:r>
    </w:p>
    <w:p w:rsidR="00AE3C93" w:rsidRPr="003D296D" w:rsidRDefault="00AE3C93" w:rsidP="00AE3C93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Automatyczne MDI/MDI-X: Tak</w:t>
      </w:r>
    </w:p>
    <w:p w:rsidR="00AE3C93" w:rsidRPr="003D296D" w:rsidRDefault="00AE3C93" w:rsidP="00AE3C93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Protokół drzewa rozpinającego: Tak</w:t>
      </w:r>
      <w:r w:rsidRPr="003D296D">
        <w:rPr>
          <w:rFonts w:ascii="Arial" w:hAnsi="Arial" w:cs="Arial"/>
          <w:bCs/>
        </w:rPr>
        <w:tab/>
      </w:r>
      <w:r w:rsidRPr="003D296D">
        <w:rPr>
          <w:rFonts w:ascii="Arial" w:hAnsi="Arial" w:cs="Arial"/>
          <w:bCs/>
        </w:rPr>
        <w:tab/>
      </w:r>
    </w:p>
    <w:p w:rsidR="00AE3C93" w:rsidRPr="003D296D" w:rsidRDefault="00AE3C93" w:rsidP="00AE3C93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Automatyczne wykrywanie: Tak</w:t>
      </w:r>
    </w:p>
    <w:p w:rsidR="00AE3C93" w:rsidRPr="003D296D" w:rsidRDefault="00AE3C93" w:rsidP="00AE3C93">
      <w:pPr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Obsługa sieci VLAN: Tak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Przekazanie (audycja) Danych:</w:t>
      </w:r>
    </w:p>
    <w:p w:rsidR="00AE3C93" w:rsidRPr="003D296D" w:rsidRDefault="00AE3C93" w:rsidP="00AE3C93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Przepustowość rutowania/przełączania: 88 Gbit/s</w:t>
      </w:r>
    </w:p>
    <w:p w:rsidR="00AE3C93" w:rsidRPr="003D296D" w:rsidRDefault="00AE3C93" w:rsidP="00AE3C93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Przepustowość: 44000 Mpps</w:t>
      </w:r>
    </w:p>
    <w:p w:rsidR="00AE3C93" w:rsidRPr="003D296D" w:rsidRDefault="00AE3C93" w:rsidP="00AE3C93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Prędkość przekazywania: 65,472 Mpps</w:t>
      </w:r>
    </w:p>
    <w:p w:rsidR="00AE3C93" w:rsidRPr="003D296D" w:rsidRDefault="00AE3C93" w:rsidP="00AE3C93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Trasa statyczna: Tak</w:t>
      </w:r>
    </w:p>
    <w:p w:rsidR="00AE3C93" w:rsidRPr="003D296D" w:rsidRDefault="00AE3C93" w:rsidP="00AE3C93">
      <w:pPr>
        <w:numPr>
          <w:ilvl w:val="0"/>
          <w:numId w:val="4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Zgodny z Jumbo Frames: Tak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Ochrona:</w:t>
      </w:r>
    </w:p>
    <w:p w:rsidR="00AE3C93" w:rsidRPr="003D296D" w:rsidRDefault="00AE3C93" w:rsidP="00AE3C93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Funkcje DHCP: DHCP server</w:t>
      </w:r>
    </w:p>
    <w:p w:rsidR="00AE3C93" w:rsidRPr="003D296D" w:rsidRDefault="00AE3C93" w:rsidP="00AE3C93">
      <w:pPr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Typ uwierzytelniania: IEEE 802.1x,RADIUS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Design:</w:t>
      </w:r>
    </w:p>
    <w:p w:rsidR="00AE3C93" w:rsidRPr="003D296D" w:rsidRDefault="00AE3C93" w:rsidP="00AE3C93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Możliwości montowania w stelażu: Tak</w:t>
      </w:r>
    </w:p>
    <w:p w:rsidR="00AE3C93" w:rsidRPr="003D296D" w:rsidRDefault="00AE3C93" w:rsidP="00AE3C93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Układ: 1U</w:t>
      </w:r>
    </w:p>
    <w:p w:rsidR="00AE3C93" w:rsidRPr="003D296D" w:rsidRDefault="00AE3C93" w:rsidP="00AE3C93">
      <w:pPr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Certyfikaty: CE, FCC, IC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Zarządzanie energią:</w:t>
      </w:r>
    </w:p>
    <w:p w:rsidR="00AE3C93" w:rsidRPr="003D296D" w:rsidRDefault="00AE3C93" w:rsidP="00AE3C93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Zasilacz dołączony: Tak</w:t>
      </w:r>
    </w:p>
    <w:p w:rsidR="00AE3C93" w:rsidRPr="003D296D" w:rsidRDefault="00AE3C93" w:rsidP="00AE3C93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Ilość jednostek zasilania: 1</w:t>
      </w:r>
    </w:p>
    <w:p w:rsidR="00AE3C93" w:rsidRPr="003D296D" w:rsidRDefault="00AE3C93" w:rsidP="00AE3C93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Napięcie wejściowe: AC 100 - 240 V</w:t>
      </w:r>
    </w:p>
    <w:p w:rsidR="00AE3C93" w:rsidRPr="003D296D" w:rsidRDefault="00AE3C93" w:rsidP="00AE3C93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Częstotliwość wejściowa: AC 50/60 Hz</w:t>
      </w:r>
    </w:p>
    <w:p w:rsidR="00AE3C93" w:rsidRPr="003D296D" w:rsidRDefault="00AE3C93" w:rsidP="00AE3C93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Napięcie wejściowe: DC 52 V</w:t>
      </w:r>
    </w:p>
    <w:p w:rsidR="00AE3C93" w:rsidRPr="003D296D" w:rsidRDefault="00AE3C93" w:rsidP="00AE3C93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Cs/>
        </w:rPr>
        <w:t>Prąd wejściowy: 7.69 A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Zasilanie przez Ethernet:</w:t>
      </w:r>
    </w:p>
    <w:p w:rsidR="00AE3C93" w:rsidRPr="003D296D" w:rsidRDefault="00AE3C93" w:rsidP="00AE3C93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Obsługa PoE: Tak</w:t>
      </w:r>
    </w:p>
    <w:p w:rsidR="00AE3C93" w:rsidRPr="003D296D" w:rsidRDefault="00AE3C93" w:rsidP="00AE3C93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  <w:lang w:val="en-US"/>
        </w:rPr>
      </w:pPr>
      <w:r w:rsidRPr="003D296D">
        <w:rPr>
          <w:rFonts w:ascii="Arial" w:hAnsi="Arial" w:cs="Arial"/>
          <w:bCs/>
          <w:lang w:val="en-US"/>
        </w:rPr>
        <w:t>Power over Ethernet Plus (PoE +) ilośćportów: min. 16</w:t>
      </w:r>
    </w:p>
    <w:p w:rsidR="00AE3C93" w:rsidRPr="003D296D" w:rsidRDefault="00AE3C93" w:rsidP="00AE3C93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Zasilanie przez Ethernet (PoE) zasilanie na port: min. 64 W</w:t>
      </w:r>
    </w:p>
    <w:p w:rsidR="00AE3C93" w:rsidRPr="003D296D" w:rsidRDefault="00AE3C93" w:rsidP="00AE3C93">
      <w:pPr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Całkowita Power over Ethernet (PoE) budżetu: min. 400 W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Warunki zewnętrzne:</w:t>
      </w:r>
    </w:p>
    <w:p w:rsidR="00AE3C93" w:rsidRPr="003D296D" w:rsidRDefault="00AE3C93" w:rsidP="00AE3C93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>Zakres temperatur (eksploatacja): -5 - 40 °C</w:t>
      </w:r>
    </w:p>
    <w:p w:rsidR="00AE3C93" w:rsidRPr="003D296D" w:rsidRDefault="00AE3C93" w:rsidP="00AE3C93">
      <w:pPr>
        <w:numPr>
          <w:ilvl w:val="0"/>
          <w:numId w:val="4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lastRenderedPageBreak/>
        <w:t>Zakres wilgotności względnej: 10 - 90%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Gwarancja minimum 24 miesiące,</w:t>
      </w:r>
      <w:r w:rsidRPr="003D296D">
        <w:rPr>
          <w:rFonts w:ascii="Arial" w:hAnsi="Arial" w:cs="Arial"/>
          <w:b/>
          <w:bCs/>
        </w:rPr>
        <w:br/>
        <w:t>lub 36 miesięcy w ramach kryterium oceny oferty.</w:t>
      </w:r>
    </w:p>
    <w:p w:rsidR="00AE3C93" w:rsidRPr="003D296D" w:rsidRDefault="00AE3C93" w:rsidP="00AE3C93">
      <w:pPr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425"/>
        <w:contextualSpacing/>
        <w:rPr>
          <w:rFonts w:ascii="Arial" w:hAnsi="Arial" w:cs="Arial"/>
          <w:b/>
          <w:bCs/>
        </w:rPr>
      </w:pPr>
      <w:r w:rsidRPr="003D296D">
        <w:rPr>
          <w:rFonts w:ascii="Arial" w:hAnsi="Arial" w:cs="Arial"/>
          <w:b/>
          <w:bCs/>
        </w:rPr>
        <w:t>Możliwość zarządzania switchem za pomocą urządzenia UbiquitiUniFi Controller CloudKey</w:t>
      </w:r>
      <w:r w:rsidRPr="003D296D">
        <w:rPr>
          <w:rFonts w:ascii="Arial" w:hAnsi="Arial" w:cs="Arial"/>
          <w:b/>
          <w:bCs/>
        </w:rPr>
        <w:br/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Dostarczenie fabrycznie nowej, wielofunkcyjnej zapory sieciowej w postaci jednego urządzenia firmy Stormshield z serii SN1100 lub równoważnej. </w:t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</w:rPr>
      </w:pPr>
      <w:r w:rsidRPr="003D296D">
        <w:rPr>
          <w:rFonts w:ascii="Arial" w:hAnsi="Arial" w:cs="Arial"/>
          <w:b/>
          <w:bCs/>
        </w:rPr>
        <w:t>Informacje dodatkowe:</w:t>
      </w:r>
      <w:r w:rsidRPr="003D296D">
        <w:rPr>
          <w:rFonts w:ascii="Arial" w:hAnsi="Arial" w:cs="Arial"/>
        </w:rPr>
        <w:t xml:space="preserve"> obecne zabezpieczenia sieciowe w Urzędzie Miasta </w:t>
      </w:r>
      <w:r w:rsidRPr="003D296D">
        <w:rPr>
          <w:rFonts w:ascii="Arial" w:hAnsi="Arial" w:cs="Arial"/>
        </w:rPr>
        <w:br/>
        <w:t xml:space="preserve">w Tomaszowie Mazowieckim zbudowane są na urządzeniu klasy UTM firmy Stormshield.  W związku z tym zasadne jest, aby zaoferowany sprzęt był tej samej firmy lub równoważny, aby zapewnić pełną zgodność systemu oraz możliwość rozbudowy </w:t>
      </w:r>
      <w:r w:rsidRPr="003D296D">
        <w:rPr>
          <w:rFonts w:ascii="Arial" w:hAnsi="Arial" w:cs="Arial"/>
        </w:rPr>
        <w:br/>
        <w:t>o kolejne moduły i funkcje w przyszłości. W przypadku zaoferowania rozwiązania innej firmy zamawiający wymaga, aby zaproponowane urządzenie spełniało minimalne wymagania opisane w punkcie nr 13 lub wymiany wszystkich istniejących urządzeń klasy UTM znajdujących się w Urzędzie Miasta w Tomaszowie Mazowieckim.</w:t>
      </w: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Specyfikacja techniczna zapory sieciowej Stormshield z serii SN1100:</w:t>
      </w:r>
    </w:p>
    <w:p w:rsidR="00AE3C93" w:rsidRPr="003D296D" w:rsidRDefault="00AE3C93" w:rsidP="00AE3C93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/>
        </w:rPr>
        <w:t xml:space="preserve">System bezpieczeństwa: </w:t>
      </w:r>
      <w:r w:rsidRPr="003D296D">
        <w:rPr>
          <w:rFonts w:ascii="Arial" w:hAnsi="Arial" w:cs="Arial"/>
          <w:bCs/>
        </w:rPr>
        <w:t>dla</w:t>
      </w:r>
      <w:r w:rsidRPr="003D296D">
        <w:rPr>
          <w:rFonts w:ascii="Arial" w:hAnsi="Arial" w:cs="Arial"/>
        </w:rPr>
        <w:t xml:space="preserve"> elementów systemu bezpieczeństwa wykonawca musi zapewnić wszystkie poniższe funkcjonalności: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Elementy systemu przenoszące ruch użytkowników muszą dawać możliwość pracy w jednym z dwóch trybów: Router/NAT lub transparent,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realizujący funkcję Firewall musi dysponować minimum 8 interfejsami miedzianymi Ethernet 10/100/1000,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realizujący funkcję Firewall musi dysponować minimum 2 interfejsami optycznymi 10 GbE (SFP+),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realizujący funkcję Firewall musi umożliwiać rozszerzenie dostępnych interfejsów o minimum 8 interfejsów miedzianych Ethernet 10/100/1000 i minimum 8 interfejsów optycznych 1 GbE (SFP),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 zakresie Firewall’a obsługa nie mniej niż 1 500 000 jednoczesnych połączeń oraz 70 000 nowych połączeń na sekundę,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realizujący funkcję Firewall powinien być wyposażony w lokalny dysk SSD o pojemności minimum 480 GB do celów logowania i raportowania,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>System realizujący funkcję Firewall musi posiadać wbudowany w interfejs administracyjny system raportowania i przeglądania logów zebranych na urządzeniu,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3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W ramach dostarczonego systemu ochrony muszą być realizowane wszystkie </w:t>
      </w:r>
      <w:r w:rsidRPr="003D296D">
        <w:rPr>
          <w:rFonts w:ascii="Arial" w:hAnsi="Arial" w:cs="Arial"/>
        </w:rPr>
        <w:br/>
        <w:t>z poniższych funkcjonalności: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dostępu - zapora ogniowa klasy StatefulInspection,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Ochrona przed wirusami – antywirus [AV] (dla protokołów SMTP, POP3, HTTP, FTP, HTTPS). System AV musi umożliwiać skanowanie AV dla plików typu: rar, zip.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Poufność danych  - IPSec VPN oraz SSL VPN,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Ochrona przed atakami  - IntrusionPrevention System [IPS/IDS],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stron Internetowych – Web Filter [WF],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zawartości poczty – antyspam [AS] (dla protokołów SMTP, POP3),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pasma oraz ruchu [QoS i Trafficshaping],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Kontrola aplikacji oraz rozpoznawanie ruchu P2P,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Analiza ruchu szyfrowanego protokołem SSL,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Wydajność systemu Firewall minimum 45 Gbps,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Wydajność skanowania strumienia danych przy włączonych funkcjach: Stateful Firewall, Antivirus minimum 4 Gbps,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Wydajność ochrony przed atakami (IPS) minimum 15 Gbps,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Wydajność VPN IPSec nie mniej niż 6 Gbps,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 zakresie realizowanych funkcjonalności VPN, wymagane jest nie mniej niż: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Tworzenie połączeń w topologii Site-to-site oraz możliwość definiowania połączeń Client-to-site,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Producent oferowanego rozwiązania VPN powinien dostarczać klienta VPN współpracującego z proponowanym rozwiązaniem 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Obsługa sslvpn w trybach portal oraz tunel,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Rozwiązanie musi zapewniać: obsługę Policy Routingu, routing statyczny </w:t>
      </w:r>
      <w:r w:rsidRPr="003D296D">
        <w:rPr>
          <w:rFonts w:ascii="Arial" w:hAnsi="Arial" w:cs="Arial"/>
        </w:rPr>
        <w:br/>
        <w:t>i dynamiczny w oparciu o protokoły: RIPv2, OSPF, BGP,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Polityka bezpieczeństwa systemu zabezpieczeń musi uwzględniać adresy IP, interfejsy, protokoły, usługi sieciowe, użytkowników, reakcje zabezpieczeń, rejestrowanie zdarzeń oraz zarządzanie pasmem sieci (m.in. pasmo gwarantowane i maksymalne, priorytety),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>Ochrona IPS musi opierać się co najmniej na analizie protokołów i sygnatur. Baza wykrywanych ataków musi zawierać co najmniej 1000 wpisów. Dodatkowo musi być możliwość wykrywania anomalii protokołów i ruchu stanowiących podstawową ochronę przed atakami typu DoS oraz DDos,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Funkcja kontroli aplikacji musi umożliwiać kontrolę ruchu na podstawie głębokiej analizy pakietów, nie bazując jedynie na wartościach portów TCP/UDP,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Automatyczne ściąganie sygnatur ataków, aplikacji i szczepionek antywirusowych oraz ciągły dostęp do globalnej bazy zasilającej filtr URL,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bezpieczeństwa musi zapewniać ochronę przed nieznanym oprogramowaniem poprzez mechanizm sandbox,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 przypadku analizy sandbox z wykorzystaniem chmury, serwery muszą być zlokalizowane na terenie Unii Europejskiej,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Analizie muszą podlegać pliki przesyłane pocztą elektroniczną i protokołami http, https,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System bezpieczeństwa musi posiadać moduł wykrywania typu oprogramowania sieciowego, które jest uruchomione na stacjach roboczych w obrębie chronionej sieci </w:t>
      </w:r>
      <w:r w:rsidRPr="003D296D">
        <w:rPr>
          <w:rFonts w:ascii="Arial" w:hAnsi="Arial" w:cs="Arial"/>
        </w:rPr>
        <w:br/>
        <w:t>i komunikuje się z siecią internet: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Moduł ma nie tylko wykrywać uruchomione oprogramowanie sieciowe, </w:t>
      </w:r>
      <w:r w:rsidRPr="003D296D">
        <w:rPr>
          <w:rFonts w:ascii="Arial" w:hAnsi="Arial" w:cs="Arial"/>
        </w:rPr>
        <w:br/>
        <w:t xml:space="preserve">ale również wykrywać i informować o lukach i podatnościach występujących </w:t>
      </w:r>
      <w:r w:rsidRPr="003D296D">
        <w:rPr>
          <w:rFonts w:ascii="Arial" w:hAnsi="Arial" w:cs="Arial"/>
        </w:rPr>
        <w:br/>
        <w:t xml:space="preserve">w wykrytym oprogramowaniu przykładowo poprzez opis wskazanej podatności lub oznaczenie ryzyka związanego z działaniem aplikacji za pomocą skali </w:t>
      </w:r>
      <w:r w:rsidRPr="003D296D">
        <w:rPr>
          <w:rFonts w:ascii="Arial" w:hAnsi="Arial" w:cs="Arial"/>
        </w:rPr>
        <w:br/>
        <w:t>lub kolorów,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System zabezpieczeń musi umożliwiać wykonywanie uwierzytelniania tożsamości użytkowników za pomocą nie mniej niż: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Haseł statycznych i definicji użytkowników przechowywanych w bazach zgodnych z LDAP,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Haseł dynamicznych (RADIUS) w oparciu o zewnętrzne bazy danych,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 zakresie realizowanych funkcjonalności systemu raportowania i przeglądania logów, wymagane jest nie mniej niż: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Posiadanie predefiniowanych raportów dla ruchu WWW, modułu IPS, skanera antywirusowego i antyspamowego,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Generowanie co najmniej 25 różnych typów raportów,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System bezpieczeństwa musi posiadać certyfikat CommonCriteria EAL4+, 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lastRenderedPageBreak/>
        <w:t xml:space="preserve">Dostarczony system bezpieczeństwa musi umożliwiać pełne zarządzanie nim wraz </w:t>
      </w:r>
      <w:r w:rsidRPr="003D296D">
        <w:rPr>
          <w:rFonts w:ascii="Arial" w:hAnsi="Arial" w:cs="Arial"/>
        </w:rPr>
        <w:br/>
        <w:t>z już posiadanymi przez Zamawiającego systemami bezpieczeństwa poprzez system centralnego zarządzania Stormshield Management Center,</w:t>
      </w:r>
    </w:p>
    <w:p w:rsidR="00AE3C93" w:rsidRPr="003D296D" w:rsidRDefault="00AE3C93" w:rsidP="00AE3C93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Wymaga się, aby dostawa obejmowała: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Minimum 60-miesięczną gwarancję na urządzenia liczoną od dnia zakończenia wdrożenia całego systemu realizowaną w trybie wymiany na następny dzień roboczy (next business day),</w:t>
      </w:r>
    </w:p>
    <w:p w:rsidR="00AE3C93" w:rsidRPr="003D296D" w:rsidRDefault="00AE3C93" w:rsidP="00AE3C93">
      <w:pPr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Licencje dla wszystkich funkcji bezpieczeństwa na okres minimum 60 miesięcy liczoną od dnia zakończenia wdrożenia całego systemu: </w:t>
      </w:r>
    </w:p>
    <w:p w:rsidR="00AE3C93" w:rsidRPr="003D296D" w:rsidRDefault="00AE3C93" w:rsidP="00AE3C93">
      <w:pPr>
        <w:numPr>
          <w:ilvl w:val="2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</w:rPr>
      </w:pPr>
      <w:r w:rsidRPr="003D296D">
        <w:rPr>
          <w:rFonts w:ascii="Arial" w:hAnsi="Arial" w:cs="Arial"/>
        </w:rPr>
        <w:t>Premium UTM Security Pack (UTM Security Pack + Kaspersky + Audyt Podatności + Rozszerzony filtr URL) z Express Exchange</w:t>
      </w:r>
    </w:p>
    <w:p w:rsidR="00AE3C93" w:rsidRPr="003D296D" w:rsidRDefault="00AE3C93" w:rsidP="00AE3C93">
      <w:pPr>
        <w:numPr>
          <w:ilvl w:val="2"/>
          <w:numId w:val="2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hanging="284"/>
        <w:contextualSpacing/>
        <w:rPr>
          <w:rFonts w:ascii="Arial" w:hAnsi="Arial" w:cs="Arial"/>
          <w:lang w:val="en-US"/>
        </w:rPr>
      </w:pPr>
      <w:r w:rsidRPr="003D296D">
        <w:rPr>
          <w:rFonts w:ascii="Arial" w:hAnsi="Arial" w:cs="Arial"/>
          <w:lang w:val="en-US"/>
        </w:rPr>
        <w:t>Breach Fighter–sandboxing (wymaga KAV lub PSP)*</w:t>
      </w:r>
    </w:p>
    <w:p w:rsidR="00AE3C93" w:rsidRPr="003D296D" w:rsidRDefault="00AE3C93" w:rsidP="00AE3C93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18" w:right="95" w:hanging="284"/>
        <w:contextualSpacing/>
        <w:rPr>
          <w:rFonts w:ascii="Arial" w:hAnsi="Arial" w:cs="Arial"/>
        </w:rPr>
      </w:pPr>
      <w:r w:rsidRPr="00E8629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3D296D">
        <w:rPr>
          <w:rFonts w:ascii="Arial" w:hAnsi="Arial" w:cs="Arial"/>
        </w:rPr>
        <w:t>portowe rozszerzenie 1</w:t>
      </w:r>
      <w:r>
        <w:rPr>
          <w:rFonts w:ascii="Arial" w:hAnsi="Arial" w:cs="Arial"/>
        </w:rPr>
        <w:t>0</w:t>
      </w:r>
      <w:r w:rsidRPr="003D296D">
        <w:rPr>
          <w:rFonts w:ascii="Arial" w:hAnsi="Arial" w:cs="Arial"/>
        </w:rPr>
        <w:t xml:space="preserve"> Gb SFP</w:t>
      </w:r>
      <w:r>
        <w:rPr>
          <w:rFonts w:ascii="Arial" w:hAnsi="Arial" w:cs="Arial"/>
        </w:rPr>
        <w:t>+</w:t>
      </w:r>
      <w:r w:rsidRPr="003D296D">
        <w:rPr>
          <w:rFonts w:ascii="Arial" w:hAnsi="Arial" w:cs="Arial"/>
        </w:rPr>
        <w:t xml:space="preserve"> dla modelu SN710/SN910/SN1100/SN2100/SN3100</w:t>
      </w:r>
      <w:r>
        <w:rPr>
          <w:rFonts w:ascii="Arial" w:hAnsi="Arial" w:cs="Arial"/>
        </w:rPr>
        <w:br/>
        <w:t>-dopuszczamy użycie wkładek światłowodowych w postaci zamienników                     w pełni kompatybilnych z zaproponowanym rozszerzeniem.</w:t>
      </w:r>
    </w:p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 w:firstLine="720"/>
        <w:rPr>
          <w:rFonts w:ascii="Arial" w:hAnsi="Arial" w:cs="Arial"/>
          <w:b/>
        </w:rPr>
      </w:pP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  <w:b/>
        </w:rPr>
      </w:pPr>
      <w:r w:rsidRPr="003D296D">
        <w:rPr>
          <w:rFonts w:ascii="Arial" w:hAnsi="Arial" w:cs="Arial"/>
          <w:b/>
        </w:rPr>
        <w:t xml:space="preserve">Opis wymaganych usług: </w:t>
      </w:r>
    </w:p>
    <w:p w:rsidR="00AE3C93" w:rsidRPr="003D296D" w:rsidRDefault="00AE3C93" w:rsidP="00AE3C93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 xml:space="preserve">W ramach dostawy nowego urządzania zamawiający wymaga, aby dostawca wykonał migrację konfiguracji z aktualnie posiadanego rozwiązania oraz rekonfigurację zgodnie w wymaganiami nowej infrastruktury. W ramach rekonfiguracji należy wykonać audyt obecnej konfiguracji i dostosować konfiguracje do nowych wymagań zamawiającego. Prace muszę się odbyć fizycznie w siedzibie zamawiającego. </w:t>
      </w:r>
    </w:p>
    <w:p w:rsidR="00AE3C93" w:rsidRPr="003D296D" w:rsidRDefault="00AE3C93" w:rsidP="00AE3C93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Inżynier dostawcy musi posiadać odpowiednią wiedzę techniczną celem realizacji usługi migracji, audytu i rekonfiguracji. Ze względu na poziom zaawansowania zmian w konfiguracji zamawiający wymaga, aby wiedza techniczna była potwierdzona aktualnym certyfikatem wydanym bezpośrednio przez producenta.</w:t>
      </w:r>
    </w:p>
    <w:p w:rsidR="00AE3C93" w:rsidRPr="003D296D" w:rsidRDefault="00AE3C93" w:rsidP="00AE3C93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Nie dopuszczamy składania ofert częściowych.</w:t>
      </w:r>
    </w:p>
    <w:p w:rsidR="00AE3C93" w:rsidRPr="003D296D" w:rsidRDefault="00AE3C93" w:rsidP="00AE3C93">
      <w:pPr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95"/>
        <w:contextualSpacing/>
        <w:jc w:val="both"/>
        <w:rPr>
          <w:rFonts w:ascii="Arial" w:hAnsi="Arial" w:cs="Arial"/>
        </w:rPr>
      </w:pPr>
      <w:r w:rsidRPr="003D296D">
        <w:rPr>
          <w:rFonts w:ascii="Arial" w:hAnsi="Arial" w:cs="Arial"/>
        </w:rPr>
        <w:t>Zamawiający dopuszcza w postępowaniu udział podwykonawców.</w:t>
      </w:r>
    </w:p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 w:right="95"/>
        <w:contextualSpacing/>
        <w:jc w:val="both"/>
        <w:rPr>
          <w:rFonts w:ascii="Arial" w:hAnsi="Arial" w:cs="Arial"/>
        </w:rPr>
      </w:pPr>
    </w:p>
    <w:p w:rsidR="00AE3C93" w:rsidRPr="003D296D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 xml:space="preserve">Termin realizacji zadań opisanych </w:t>
      </w:r>
      <w:r>
        <w:rPr>
          <w:rFonts w:ascii="Arial" w:hAnsi="Arial" w:cs="Arial"/>
          <w:bCs/>
        </w:rPr>
        <w:t xml:space="preserve"> powyżej </w:t>
      </w:r>
      <w:r w:rsidRPr="003D296D">
        <w:rPr>
          <w:rFonts w:ascii="Arial" w:hAnsi="Arial" w:cs="Arial"/>
          <w:bCs/>
        </w:rPr>
        <w:t xml:space="preserve">wynosi </w:t>
      </w:r>
      <w:r>
        <w:rPr>
          <w:rFonts w:ascii="Arial" w:hAnsi="Arial" w:cs="Arial"/>
          <w:bCs/>
        </w:rPr>
        <w:t>120</w:t>
      </w:r>
      <w:r w:rsidRPr="003D296D">
        <w:rPr>
          <w:rFonts w:ascii="Arial" w:hAnsi="Arial" w:cs="Arial"/>
          <w:bCs/>
        </w:rPr>
        <w:t xml:space="preserve"> dni od daty podpisania umowy.</w:t>
      </w:r>
    </w:p>
    <w:p w:rsidR="00AE3C93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jc w:val="both"/>
        <w:rPr>
          <w:rFonts w:ascii="Arial" w:hAnsi="Arial" w:cs="Arial"/>
          <w:bCs/>
        </w:rPr>
      </w:pPr>
      <w:r w:rsidRPr="003D296D">
        <w:rPr>
          <w:rFonts w:ascii="Arial" w:hAnsi="Arial" w:cs="Arial"/>
          <w:bCs/>
        </w:rPr>
        <w:t xml:space="preserve">Wykonawca zobowiązuje się do wskazania nazwy i modelu zaproponowanych urządzeń sieciowych w celu weryfikacji poprawności zaproponowanej oferty. </w:t>
      </w:r>
    </w:p>
    <w:p w:rsidR="00AE3C93" w:rsidRPr="00C95BB7" w:rsidRDefault="00AE3C93" w:rsidP="00AE3C93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right="95" w:hanging="426"/>
        <w:contextualSpacing/>
        <w:rPr>
          <w:rFonts w:ascii="Arial" w:hAnsi="Arial" w:cs="Arial"/>
          <w:bCs/>
        </w:rPr>
      </w:pPr>
      <w:r w:rsidRPr="00C95BB7">
        <w:rPr>
          <w:rFonts w:ascii="Arial" w:hAnsi="Arial" w:cs="Arial"/>
          <w:b/>
          <w:bCs/>
        </w:rPr>
        <w:lastRenderedPageBreak/>
        <w:t>Wykaz jednostek, do których należy doprowadzić światłowód do serwerowni zlokalizowanej w budynku Urzędu Miasta w Tomaszowie Mazowieckim</w:t>
      </w:r>
      <w:r>
        <w:rPr>
          <w:rFonts w:ascii="Arial" w:hAnsi="Arial" w:cs="Arial"/>
          <w:b/>
          <w:bCs/>
        </w:rPr>
        <w:t>:</w:t>
      </w:r>
    </w:p>
    <w:tbl>
      <w:tblPr>
        <w:tblStyle w:val="Tabela-Siatka1"/>
        <w:tblW w:w="0" w:type="auto"/>
        <w:tblLook w:val="04A0"/>
      </w:tblPr>
      <w:tblGrid>
        <w:gridCol w:w="547"/>
        <w:gridCol w:w="4246"/>
        <w:gridCol w:w="4403"/>
      </w:tblGrid>
      <w:tr w:rsidR="00AE3C93" w:rsidRPr="003D296D" w:rsidTr="00A03D06">
        <w:trPr>
          <w:trHeight w:val="428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D296D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D296D">
              <w:rPr>
                <w:rFonts w:ascii="Arial" w:hAnsi="Arial" w:cs="Arial"/>
                <w:b/>
                <w:bCs/>
              </w:rPr>
              <w:t>Nazwa jednostki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3D296D">
              <w:rPr>
                <w:rFonts w:ascii="Arial" w:hAnsi="Arial" w:cs="Arial"/>
                <w:b/>
                <w:bCs/>
              </w:rPr>
              <w:t>Adres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13 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J.U. Niemcewicza 50/56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16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J.U. Niemcewicza 50/56</w:t>
            </w:r>
          </w:p>
        </w:tc>
      </w:tr>
      <w:tr w:rsidR="00AE3C93" w:rsidRPr="003D296D" w:rsidTr="00A03D06">
        <w:trPr>
          <w:trHeight w:val="487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12 </w:t>
            </w:r>
          </w:p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im. Jana Pawła II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Wiejska 29/31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4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7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Jałowcowa 6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5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7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Ludwikowska 113/115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6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9 im. Jana Pawła II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Robotnicza 30</w:t>
            </w:r>
          </w:p>
        </w:tc>
      </w:tr>
      <w:tr w:rsidR="00AE3C93" w:rsidRPr="003D296D" w:rsidTr="00A03D06">
        <w:trPr>
          <w:trHeight w:val="487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7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1</w:t>
            </w:r>
          </w:p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im. Aleksandra Kamińskiego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Leona Witolda May’a 11/13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8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14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Leona Witolda May’a 6/8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9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20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Gen. Władysława Sikorskiego 6A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10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8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Stolarska 21/27</w:t>
            </w:r>
          </w:p>
        </w:tc>
      </w:tr>
      <w:tr w:rsidR="00AE3C93" w:rsidRPr="003D296D" w:rsidTr="00A03D06">
        <w:trPr>
          <w:trHeight w:val="502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C82CF3">
              <w:rPr>
                <w:rFonts w:ascii="Arial" w:hAnsi="Arial" w:cs="Arial"/>
              </w:rPr>
              <w:t>1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14 </w:t>
            </w:r>
          </w:p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im. Orła Białego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tabs>
                <w:tab w:val="left" w:pos="1050"/>
              </w:tabs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Słowackiego 32/42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C82CF3">
              <w:rPr>
                <w:rFonts w:ascii="Arial" w:hAnsi="Arial" w:cs="Arial"/>
              </w:rPr>
              <w:t>2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2 im. Marii Kownackiej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Stefana Czarnieckiego 12/14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C82CF3">
              <w:rPr>
                <w:rFonts w:ascii="Arial" w:hAnsi="Arial" w:cs="Arial"/>
              </w:rPr>
              <w:t>3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11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św. Antoniego 43/45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C82CF3">
              <w:rPr>
                <w:rFonts w:ascii="Arial" w:hAnsi="Arial" w:cs="Arial"/>
              </w:rPr>
              <w:t>4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19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Strzelecka 14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C82CF3">
              <w:rPr>
                <w:rFonts w:ascii="Arial" w:hAnsi="Arial" w:cs="Arial"/>
              </w:rPr>
              <w:t>5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Szkoła Podstawowa nr 6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Gminna 5/9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C82CF3">
              <w:rPr>
                <w:rFonts w:ascii="Arial" w:hAnsi="Arial" w:cs="Arial"/>
              </w:rPr>
              <w:t>6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10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Wąwalska 24</w:t>
            </w:r>
          </w:p>
        </w:tc>
      </w:tr>
      <w:tr w:rsidR="00AE3C93" w:rsidRPr="003D296D" w:rsidTr="00A03D06">
        <w:trPr>
          <w:trHeight w:val="502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C82CF3">
              <w:rPr>
                <w:rFonts w:ascii="Arial" w:hAnsi="Arial" w:cs="Arial"/>
              </w:rPr>
              <w:t>7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9 </w:t>
            </w:r>
          </w:p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im. ks. Jana Twardowskiego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Jałowcowa 8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1</w:t>
            </w:r>
            <w:r w:rsidR="00C82CF3">
              <w:rPr>
                <w:rFonts w:ascii="Arial" w:hAnsi="Arial" w:cs="Arial"/>
              </w:rPr>
              <w:t>8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5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Niska 20A</w:t>
            </w:r>
          </w:p>
        </w:tc>
      </w:tr>
      <w:tr w:rsidR="00AE3C93" w:rsidRPr="003D296D" w:rsidTr="00A03D06">
        <w:trPr>
          <w:trHeight w:val="502"/>
        </w:trPr>
        <w:tc>
          <w:tcPr>
            <w:tcW w:w="547" w:type="dxa"/>
            <w:vAlign w:val="center"/>
          </w:tcPr>
          <w:p w:rsidR="00AE3C93" w:rsidRPr="003D296D" w:rsidRDefault="00C82CF3" w:rsidP="00A03D06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 xml:space="preserve">Szkoła Podstawowa nr 3 </w:t>
            </w:r>
          </w:p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lastRenderedPageBreak/>
              <w:t>im. Józefa Piłsudskiego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lastRenderedPageBreak/>
              <w:t>al. J. Piłsudskiego 42/46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lastRenderedPageBreak/>
              <w:t>2</w:t>
            </w:r>
            <w:r w:rsidR="00C82CF3">
              <w:rPr>
                <w:rFonts w:ascii="Arial" w:hAnsi="Arial" w:cs="Arial"/>
              </w:rPr>
              <w:t>0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11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Farbiarska 51/57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C82CF3">
              <w:rPr>
                <w:rFonts w:ascii="Arial" w:hAnsi="Arial" w:cs="Arial"/>
              </w:rPr>
              <w:t>1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17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Warszawska 103A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C82CF3">
              <w:rPr>
                <w:rFonts w:ascii="Arial" w:hAnsi="Arial" w:cs="Arial"/>
              </w:rPr>
              <w:t>2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3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Kombatantów 5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C82CF3">
              <w:rPr>
                <w:rFonts w:ascii="Arial" w:hAnsi="Arial" w:cs="Arial"/>
              </w:rPr>
              <w:t>3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Przedszkole nr 12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Kombatantów 1/3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C82CF3">
              <w:rPr>
                <w:rFonts w:ascii="Arial" w:hAnsi="Arial" w:cs="Arial"/>
              </w:rPr>
              <w:t>4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Samorządowy Żłobek nr 1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95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Strzelecka 14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C82CF3">
              <w:rPr>
                <w:rFonts w:ascii="Arial" w:hAnsi="Arial" w:cs="Arial"/>
              </w:rPr>
              <w:t>5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Miejski Ośrodek Pomocy Społecznej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Cekanowska 5</w:t>
            </w:r>
          </w:p>
        </w:tc>
      </w:tr>
      <w:tr w:rsidR="00AE3C93" w:rsidRPr="003D296D" w:rsidTr="00A03D06">
        <w:trPr>
          <w:trHeight w:val="487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C82CF3">
              <w:rPr>
                <w:rFonts w:ascii="Arial" w:hAnsi="Arial" w:cs="Arial"/>
              </w:rPr>
              <w:t>6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Ośrodek Rehabilitacji Dzieci Niepełnosprawnych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Jana Pawła II 64/66</w:t>
            </w:r>
            <w:r w:rsidRPr="003D296D">
              <w:rPr>
                <w:rFonts w:ascii="Arial" w:hAnsi="Arial" w:cs="Arial"/>
              </w:rPr>
              <w:tab/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C82CF3">
              <w:rPr>
                <w:rFonts w:ascii="Arial" w:hAnsi="Arial" w:cs="Arial"/>
              </w:rPr>
              <w:t>7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Straż Miejska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plac Kościuszki 24</w:t>
            </w:r>
          </w:p>
        </w:tc>
      </w:tr>
      <w:tr w:rsidR="00AE3C93" w:rsidRPr="003D296D" w:rsidTr="00A03D06">
        <w:trPr>
          <w:trHeight w:val="487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2</w:t>
            </w:r>
            <w:r w:rsidR="00C82CF3">
              <w:rPr>
                <w:rFonts w:ascii="Arial" w:hAnsi="Arial" w:cs="Arial"/>
              </w:rPr>
              <w:t>8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Centrum Usług Wspólnych Gminy Miasto Tomaszów Mazowiecki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plac Kościuszki 24</w:t>
            </w:r>
            <w:r w:rsidRPr="003D296D">
              <w:rPr>
                <w:rFonts w:ascii="Arial" w:hAnsi="Arial" w:cs="Arial"/>
              </w:rPr>
              <w:br/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C82CF3" w:rsidP="00A03D06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Zarząd Dróg i Utrzymania Miasta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95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Warszawska 119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  <w:r w:rsidR="00C82CF3">
              <w:rPr>
                <w:rFonts w:ascii="Arial" w:hAnsi="Arial" w:cs="Arial"/>
              </w:rPr>
              <w:t>0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Miejskie Centrum Kultury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plac Kościuszki 18</w:t>
            </w:r>
          </w:p>
        </w:tc>
      </w:tr>
      <w:tr w:rsidR="00AE3C93" w:rsidRPr="003D296D" w:rsidTr="00A03D06">
        <w:trPr>
          <w:trHeight w:val="251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  <w:r w:rsidR="00C82CF3">
              <w:rPr>
                <w:rFonts w:ascii="Arial" w:hAnsi="Arial" w:cs="Arial"/>
              </w:rPr>
              <w:t>1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Muzeum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POW 11/15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  <w:r w:rsidR="00C82CF3">
              <w:rPr>
                <w:rFonts w:ascii="Arial" w:hAnsi="Arial" w:cs="Arial"/>
              </w:rPr>
              <w:t>2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Miejska Biblioteka Publiczna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right="95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Mościckiego 6</w:t>
            </w:r>
          </w:p>
        </w:tc>
      </w:tr>
      <w:tr w:rsidR="00AE3C93" w:rsidRPr="003D296D" w:rsidTr="00A03D06">
        <w:trPr>
          <w:trHeight w:val="236"/>
        </w:trPr>
        <w:tc>
          <w:tcPr>
            <w:tcW w:w="547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3</w:t>
            </w:r>
            <w:r w:rsidR="00C82CF3">
              <w:rPr>
                <w:rFonts w:ascii="Arial" w:hAnsi="Arial" w:cs="Arial"/>
              </w:rPr>
              <w:t>3</w:t>
            </w:r>
          </w:p>
        </w:tc>
        <w:tc>
          <w:tcPr>
            <w:tcW w:w="4246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Urząd Stanu Cywilnego</w:t>
            </w:r>
          </w:p>
        </w:tc>
        <w:tc>
          <w:tcPr>
            <w:tcW w:w="4403" w:type="dxa"/>
            <w:vAlign w:val="center"/>
          </w:tcPr>
          <w:p w:rsidR="00AE3C93" w:rsidRPr="003D296D" w:rsidRDefault="00AE3C93" w:rsidP="00A03D06">
            <w:pPr>
              <w:spacing w:after="200" w:line="276" w:lineRule="auto"/>
              <w:rPr>
                <w:rFonts w:ascii="Arial" w:hAnsi="Arial" w:cs="Arial"/>
              </w:rPr>
            </w:pPr>
            <w:r w:rsidRPr="003D296D">
              <w:rPr>
                <w:rFonts w:ascii="Arial" w:hAnsi="Arial" w:cs="Arial"/>
              </w:rPr>
              <w:t>ul. Św. Antoniego 42</w:t>
            </w:r>
          </w:p>
        </w:tc>
      </w:tr>
    </w:tbl>
    <w:p w:rsidR="00AE3C93" w:rsidRPr="003D296D" w:rsidRDefault="00AE3C93" w:rsidP="00AE3C93">
      <w:pPr>
        <w:pBdr>
          <w:top w:val="nil"/>
          <w:left w:val="nil"/>
          <w:bottom w:val="nil"/>
          <w:right w:val="nil"/>
          <w:between w:val="nil"/>
        </w:pBdr>
        <w:tabs>
          <w:tab w:val="left" w:pos="6585"/>
        </w:tabs>
        <w:spacing w:line="360" w:lineRule="auto"/>
        <w:ind w:right="95"/>
        <w:rPr>
          <w:rFonts w:ascii="Arial" w:hAnsi="Arial" w:cs="Arial"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p w:rsidR="00AE3C93" w:rsidRDefault="00AE3C93" w:rsidP="0070364A">
      <w:pPr>
        <w:spacing w:after="0" w:line="360" w:lineRule="auto"/>
        <w:jc w:val="both"/>
        <w:rPr>
          <w:rFonts w:ascii="Arial" w:hAnsi="Arial" w:cs="Arial"/>
          <w:b/>
        </w:rPr>
      </w:pPr>
    </w:p>
    <w:sectPr w:rsidR="00AE3C93" w:rsidSect="002F53B1">
      <w:headerReference w:type="default" r:id="rId8"/>
      <w:footerReference w:type="default" r:id="rId9"/>
      <w:pgSz w:w="11906" w:h="16838"/>
      <w:pgMar w:top="1134" w:right="1274" w:bottom="1560" w:left="1418" w:header="567" w:footer="0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47C" w:rsidRDefault="006C447C">
      <w:pPr>
        <w:spacing w:after="0" w:line="240" w:lineRule="auto"/>
      </w:pPr>
      <w:r>
        <w:separator/>
      </w:r>
    </w:p>
  </w:endnote>
  <w:endnote w:type="continuationSeparator" w:id="1">
    <w:p w:rsidR="006C447C" w:rsidRDefault="006C4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CAB" w:rsidRDefault="00D45CAB" w:rsidP="00D45CAB">
    <w:pPr>
      <w:spacing w:before="240" w:after="240"/>
      <w:jc w:val="center"/>
    </w:pPr>
  </w:p>
  <w:p w:rsidR="00A61C5D" w:rsidRDefault="00A61C5D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47C" w:rsidRDefault="006C447C">
      <w:pPr>
        <w:spacing w:after="0" w:line="240" w:lineRule="auto"/>
      </w:pPr>
      <w:r>
        <w:separator/>
      </w:r>
    </w:p>
  </w:footnote>
  <w:footnote w:type="continuationSeparator" w:id="1">
    <w:p w:rsidR="006C447C" w:rsidRDefault="006C4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CAB" w:rsidRPr="00D45CAB" w:rsidRDefault="00371677" w:rsidP="00D45CAB">
    <w:pPr>
      <w:tabs>
        <w:tab w:val="center" w:pos="4536"/>
        <w:tab w:val="right" w:pos="9072"/>
      </w:tabs>
      <w:spacing w:after="0" w:line="240" w:lineRule="auto"/>
      <w:ind w:right="-1133"/>
      <w:jc w:val="center"/>
      <w:rPr>
        <w:rFonts w:ascii="Arial" w:eastAsia="Arial" w:hAnsi="Arial" w:cs="Arial"/>
        <w:b/>
        <w:sz w:val="24"/>
        <w:szCs w:val="24"/>
        <w:lang w:eastAsia="pl-PL"/>
      </w:rPr>
    </w:pPr>
    <w:r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4338955</wp:posOffset>
          </wp:positionH>
          <wp:positionV relativeFrom="paragraph">
            <wp:posOffset>-285115</wp:posOffset>
          </wp:positionV>
          <wp:extent cx="1950008" cy="711835"/>
          <wp:effectExtent l="0" t="0" r="0" b="0"/>
          <wp:wrapNone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0008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D45CAB" w:rsidRPr="00D45CAB">
      <w:rPr>
        <w:rFonts w:ascii="Arial" w:eastAsia="Arial" w:hAnsi="Arial" w:cs="Arial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200025</wp:posOffset>
          </wp:positionH>
          <wp:positionV relativeFrom="paragraph">
            <wp:posOffset>-218071</wp:posOffset>
          </wp:positionV>
          <wp:extent cx="710466" cy="501024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466" cy="5010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45CAB" w:rsidRPr="00D45CAB" w:rsidRDefault="00D45CAB" w:rsidP="00D45CAB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Arial" w:hAnsi="Arial" w:cs="Arial"/>
        <w:b/>
        <w:sz w:val="24"/>
        <w:szCs w:val="24"/>
        <w:lang w:eastAsia="pl-PL"/>
      </w:rPr>
    </w:pPr>
  </w:p>
  <w:p w:rsidR="00D45CAB" w:rsidRPr="00371677" w:rsidRDefault="00D45CAB" w:rsidP="00371677">
    <w:pPr>
      <w:tabs>
        <w:tab w:val="center" w:pos="4536"/>
        <w:tab w:val="right" w:pos="9072"/>
      </w:tabs>
      <w:spacing w:before="240" w:after="240" w:line="240" w:lineRule="auto"/>
      <w:jc w:val="center"/>
      <w:rPr>
        <w:rFonts w:ascii="Arial" w:eastAsia="Arial" w:hAnsi="Arial" w:cs="Arial"/>
        <w:bCs/>
        <w:sz w:val="24"/>
        <w:szCs w:val="24"/>
        <w:lang w:eastAsia="pl-PL"/>
      </w:rPr>
    </w:pPr>
    <w:r w:rsidRPr="00371677">
      <w:rPr>
        <w:rFonts w:ascii="Arial" w:eastAsia="Arial" w:hAnsi="Arial" w:cs="Arial"/>
        <w:bCs/>
        <w:sz w:val="24"/>
        <w:szCs w:val="24"/>
        <w:lang w:eastAsia="pl-PL"/>
      </w:rPr>
      <w:t xml:space="preserve">Wspólnie działamy na rzecz Europy zielonej, </w:t>
    </w:r>
    <w:r w:rsidRPr="00371677">
      <w:rPr>
        <w:rFonts w:ascii="Arial" w:eastAsia="Arial" w:hAnsi="Arial" w:cs="Arial"/>
        <w:bCs/>
        <w:sz w:val="24"/>
        <w:szCs w:val="24"/>
        <w:lang w:eastAsia="pl-PL"/>
      </w:rPr>
      <w:br/>
      <w:t>konkurencyjnej i sprzyjającej integracji społecznej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2ADE"/>
    <w:multiLevelType w:val="multilevel"/>
    <w:tmpl w:val="764810F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03092B8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7707834"/>
    <w:multiLevelType w:val="multilevel"/>
    <w:tmpl w:val="5742CF9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0A6F62DD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4">
    <w:nsid w:val="0BD355D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0C373F2A"/>
    <w:multiLevelType w:val="multilevel"/>
    <w:tmpl w:val="E2A6B34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0EE048F5"/>
    <w:multiLevelType w:val="hybridMultilevel"/>
    <w:tmpl w:val="4B2C2920"/>
    <w:lvl w:ilvl="0" w:tplc="0B4C9D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A6ADF"/>
    <w:multiLevelType w:val="multilevel"/>
    <w:tmpl w:val="871004CC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>
    <w:nsid w:val="11A04CE0"/>
    <w:multiLevelType w:val="hybridMultilevel"/>
    <w:tmpl w:val="C0CCCD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075D4E"/>
    <w:multiLevelType w:val="multilevel"/>
    <w:tmpl w:val="7A2A1AA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CD6B6D"/>
    <w:multiLevelType w:val="multilevel"/>
    <w:tmpl w:val="18BC450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1D5A2F05"/>
    <w:multiLevelType w:val="hybridMultilevel"/>
    <w:tmpl w:val="53B82588"/>
    <w:lvl w:ilvl="0" w:tplc="39B41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5B6CB1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47973B7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265C42CE"/>
    <w:multiLevelType w:val="multilevel"/>
    <w:tmpl w:val="2550E4C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1E6F7C"/>
    <w:multiLevelType w:val="hybridMultilevel"/>
    <w:tmpl w:val="1E3EB25E"/>
    <w:lvl w:ilvl="0" w:tplc="041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87549DE"/>
    <w:multiLevelType w:val="hybridMultilevel"/>
    <w:tmpl w:val="D7686C9C"/>
    <w:lvl w:ilvl="0" w:tplc="04150011">
      <w:start w:val="1"/>
      <w:numFmt w:val="decimal"/>
      <w:lvlText w:val="%1)"/>
      <w:lvlJc w:val="left"/>
      <w:pPr>
        <w:ind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87D7D3C"/>
    <w:multiLevelType w:val="hybridMultilevel"/>
    <w:tmpl w:val="99FE423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28D540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07F431F"/>
    <w:multiLevelType w:val="multilevel"/>
    <w:tmpl w:val="6F78D5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AE0AD7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6812E03"/>
    <w:multiLevelType w:val="hybridMultilevel"/>
    <w:tmpl w:val="BE28B90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8E144BD"/>
    <w:multiLevelType w:val="hybridMultilevel"/>
    <w:tmpl w:val="B388EB56"/>
    <w:lvl w:ilvl="0" w:tplc="E82A3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C706B"/>
    <w:multiLevelType w:val="multilevel"/>
    <w:tmpl w:val="34FE6DD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4">
    <w:nsid w:val="3D6D3A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25">
    <w:nsid w:val="40BA6E0B"/>
    <w:multiLevelType w:val="hybridMultilevel"/>
    <w:tmpl w:val="F0302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C57CBE"/>
    <w:multiLevelType w:val="hybridMultilevel"/>
    <w:tmpl w:val="9F725E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67414D6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47802AF6"/>
    <w:multiLevelType w:val="hybridMultilevel"/>
    <w:tmpl w:val="C630C2C6"/>
    <w:lvl w:ilvl="0" w:tplc="04150011">
      <w:start w:val="1"/>
      <w:numFmt w:val="decimal"/>
      <w:lvlText w:val="%1)"/>
      <w:lvlJc w:val="left"/>
      <w:pPr>
        <w:ind w:left="50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AFF6D20"/>
    <w:multiLevelType w:val="multilevel"/>
    <w:tmpl w:val="5AD0751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EC4EB6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EF5D49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50004FE9"/>
    <w:multiLevelType w:val="multilevel"/>
    <w:tmpl w:val="C62C2C6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3">
    <w:nsid w:val="507278BF"/>
    <w:multiLevelType w:val="multilevel"/>
    <w:tmpl w:val="08D2E1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4">
    <w:nsid w:val="52FB3EFA"/>
    <w:multiLevelType w:val="multilevel"/>
    <w:tmpl w:val="76A4D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5">
    <w:nsid w:val="54EA4B4B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54FF7DC9"/>
    <w:multiLevelType w:val="hybridMultilevel"/>
    <w:tmpl w:val="6A96995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53B6EEB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F67E1B"/>
    <w:multiLevelType w:val="hybridMultilevel"/>
    <w:tmpl w:val="B99049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0C314B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>
    <w:nsid w:val="5C6A1004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>
    <w:nsid w:val="5C795655"/>
    <w:multiLevelType w:val="multilevel"/>
    <w:tmpl w:val="ABA6966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■"/>
      <w:lvlJc w:val="lef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B14492"/>
    <w:multiLevelType w:val="multilevel"/>
    <w:tmpl w:val="9C724D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>
    <w:nsid w:val="60823673"/>
    <w:multiLevelType w:val="hybridMultilevel"/>
    <w:tmpl w:val="3BE4120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6134663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>
    <w:nsid w:val="65FF40EE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>
    <w:nsid w:val="6B48043B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7">
    <w:nsid w:val="70621EC5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8">
    <w:nsid w:val="74A645B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>
    <w:nsid w:val="7BB3596C"/>
    <w:multiLevelType w:val="multilevel"/>
    <w:tmpl w:val="92A6970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7"/>
  </w:num>
  <w:num w:numId="2">
    <w:abstractNumId w:val="19"/>
  </w:num>
  <w:num w:numId="3">
    <w:abstractNumId w:val="14"/>
  </w:num>
  <w:num w:numId="4">
    <w:abstractNumId w:val="23"/>
  </w:num>
  <w:num w:numId="5">
    <w:abstractNumId w:val="10"/>
  </w:num>
  <w:num w:numId="6">
    <w:abstractNumId w:val="41"/>
  </w:num>
  <w:num w:numId="7">
    <w:abstractNumId w:val="34"/>
  </w:num>
  <w:num w:numId="8">
    <w:abstractNumId w:val="32"/>
  </w:num>
  <w:num w:numId="9">
    <w:abstractNumId w:val="0"/>
  </w:num>
  <w:num w:numId="10">
    <w:abstractNumId w:val="42"/>
  </w:num>
  <w:num w:numId="11">
    <w:abstractNumId w:val="9"/>
  </w:num>
  <w:num w:numId="12">
    <w:abstractNumId w:val="2"/>
  </w:num>
  <w:num w:numId="13">
    <w:abstractNumId w:val="38"/>
  </w:num>
  <w:num w:numId="14">
    <w:abstractNumId w:val="2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33"/>
  </w:num>
  <w:num w:numId="17">
    <w:abstractNumId w:val="49"/>
  </w:num>
  <w:num w:numId="18">
    <w:abstractNumId w:val="11"/>
  </w:num>
  <w:num w:numId="19">
    <w:abstractNumId w:val="26"/>
  </w:num>
  <w:num w:numId="20">
    <w:abstractNumId w:val="15"/>
  </w:num>
  <w:num w:numId="21">
    <w:abstractNumId w:val="17"/>
  </w:num>
  <w:num w:numId="22">
    <w:abstractNumId w:val="30"/>
  </w:num>
  <w:num w:numId="23">
    <w:abstractNumId w:val="36"/>
  </w:num>
  <w:num w:numId="24">
    <w:abstractNumId w:val="35"/>
  </w:num>
  <w:num w:numId="25">
    <w:abstractNumId w:val="16"/>
  </w:num>
  <w:num w:numId="26">
    <w:abstractNumId w:val="28"/>
  </w:num>
  <w:num w:numId="27">
    <w:abstractNumId w:val="21"/>
  </w:num>
  <w:num w:numId="28">
    <w:abstractNumId w:val="24"/>
  </w:num>
  <w:num w:numId="29">
    <w:abstractNumId w:val="47"/>
  </w:num>
  <w:num w:numId="30">
    <w:abstractNumId w:val="46"/>
  </w:num>
  <w:num w:numId="31">
    <w:abstractNumId w:val="18"/>
  </w:num>
  <w:num w:numId="32">
    <w:abstractNumId w:val="4"/>
  </w:num>
  <w:num w:numId="33">
    <w:abstractNumId w:val="39"/>
  </w:num>
  <w:num w:numId="34">
    <w:abstractNumId w:val="12"/>
  </w:num>
  <w:num w:numId="35">
    <w:abstractNumId w:val="45"/>
  </w:num>
  <w:num w:numId="36">
    <w:abstractNumId w:val="22"/>
  </w:num>
  <w:num w:numId="37">
    <w:abstractNumId w:val="6"/>
  </w:num>
  <w:num w:numId="38">
    <w:abstractNumId w:val="8"/>
  </w:num>
  <w:num w:numId="39">
    <w:abstractNumId w:val="37"/>
  </w:num>
  <w:num w:numId="40">
    <w:abstractNumId w:val="40"/>
  </w:num>
  <w:num w:numId="41">
    <w:abstractNumId w:val="3"/>
  </w:num>
  <w:num w:numId="42">
    <w:abstractNumId w:val="1"/>
  </w:num>
  <w:num w:numId="43">
    <w:abstractNumId w:val="27"/>
  </w:num>
  <w:num w:numId="44">
    <w:abstractNumId w:val="13"/>
  </w:num>
  <w:num w:numId="45">
    <w:abstractNumId w:val="31"/>
  </w:num>
  <w:num w:numId="46">
    <w:abstractNumId w:val="20"/>
  </w:num>
  <w:num w:numId="47">
    <w:abstractNumId w:val="44"/>
  </w:num>
  <w:num w:numId="48">
    <w:abstractNumId w:val="48"/>
  </w:num>
  <w:num w:numId="49">
    <w:abstractNumId w:val="25"/>
  </w:num>
  <w:num w:numId="50">
    <w:abstractNumId w:val="4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E7169B"/>
    <w:rsid w:val="00011FB9"/>
    <w:rsid w:val="00030655"/>
    <w:rsid w:val="0009510C"/>
    <w:rsid w:val="000A5E68"/>
    <w:rsid w:val="000B5915"/>
    <w:rsid w:val="000E33C2"/>
    <w:rsid w:val="000F78E6"/>
    <w:rsid w:val="001015FA"/>
    <w:rsid w:val="0011257A"/>
    <w:rsid w:val="0012194A"/>
    <w:rsid w:val="00130B69"/>
    <w:rsid w:val="00135A25"/>
    <w:rsid w:val="00137063"/>
    <w:rsid w:val="00140038"/>
    <w:rsid w:val="00186561"/>
    <w:rsid w:val="001C44A3"/>
    <w:rsid w:val="00221F50"/>
    <w:rsid w:val="00224B71"/>
    <w:rsid w:val="0023476B"/>
    <w:rsid w:val="002631DE"/>
    <w:rsid w:val="00277BA9"/>
    <w:rsid w:val="002839E8"/>
    <w:rsid w:val="00297376"/>
    <w:rsid w:val="002A65AA"/>
    <w:rsid w:val="002C65E1"/>
    <w:rsid w:val="002D54E5"/>
    <w:rsid w:val="002E1ED4"/>
    <w:rsid w:val="002E44F6"/>
    <w:rsid w:val="002F53B1"/>
    <w:rsid w:val="003436B4"/>
    <w:rsid w:val="00371677"/>
    <w:rsid w:val="003853A4"/>
    <w:rsid w:val="00417108"/>
    <w:rsid w:val="00431DF9"/>
    <w:rsid w:val="00432F6B"/>
    <w:rsid w:val="00474A50"/>
    <w:rsid w:val="004D6A80"/>
    <w:rsid w:val="004F6124"/>
    <w:rsid w:val="004F6663"/>
    <w:rsid w:val="005172C7"/>
    <w:rsid w:val="00526CB8"/>
    <w:rsid w:val="00564E36"/>
    <w:rsid w:val="00587577"/>
    <w:rsid w:val="005C60A7"/>
    <w:rsid w:val="00604073"/>
    <w:rsid w:val="00642E50"/>
    <w:rsid w:val="006458F0"/>
    <w:rsid w:val="00691391"/>
    <w:rsid w:val="006A26FB"/>
    <w:rsid w:val="006B349B"/>
    <w:rsid w:val="006C447C"/>
    <w:rsid w:val="0070364A"/>
    <w:rsid w:val="00704D90"/>
    <w:rsid w:val="0072602A"/>
    <w:rsid w:val="00750483"/>
    <w:rsid w:val="007A12D0"/>
    <w:rsid w:val="007B64AD"/>
    <w:rsid w:val="007D2A9F"/>
    <w:rsid w:val="00854784"/>
    <w:rsid w:val="00872EC9"/>
    <w:rsid w:val="00881235"/>
    <w:rsid w:val="008817C8"/>
    <w:rsid w:val="008B52A2"/>
    <w:rsid w:val="008C4FF7"/>
    <w:rsid w:val="008E3A0B"/>
    <w:rsid w:val="00904816"/>
    <w:rsid w:val="00912C42"/>
    <w:rsid w:val="00934186"/>
    <w:rsid w:val="00957B2D"/>
    <w:rsid w:val="009B439E"/>
    <w:rsid w:val="009C0683"/>
    <w:rsid w:val="00A07DB1"/>
    <w:rsid w:val="00A275C0"/>
    <w:rsid w:val="00A61C5D"/>
    <w:rsid w:val="00A74505"/>
    <w:rsid w:val="00A873DA"/>
    <w:rsid w:val="00A9662D"/>
    <w:rsid w:val="00AA39CA"/>
    <w:rsid w:val="00AC332F"/>
    <w:rsid w:val="00AC3FB0"/>
    <w:rsid w:val="00AD15F5"/>
    <w:rsid w:val="00AD7022"/>
    <w:rsid w:val="00AE3C93"/>
    <w:rsid w:val="00B14CC2"/>
    <w:rsid w:val="00B314BD"/>
    <w:rsid w:val="00B94F04"/>
    <w:rsid w:val="00B96F45"/>
    <w:rsid w:val="00BC38FE"/>
    <w:rsid w:val="00BC501F"/>
    <w:rsid w:val="00C36925"/>
    <w:rsid w:val="00C45CFC"/>
    <w:rsid w:val="00C57B95"/>
    <w:rsid w:val="00C82CF3"/>
    <w:rsid w:val="00C90F46"/>
    <w:rsid w:val="00CA5C74"/>
    <w:rsid w:val="00CC1515"/>
    <w:rsid w:val="00CD2224"/>
    <w:rsid w:val="00CE3C75"/>
    <w:rsid w:val="00D30D4A"/>
    <w:rsid w:val="00D4246A"/>
    <w:rsid w:val="00D45CAB"/>
    <w:rsid w:val="00D848DC"/>
    <w:rsid w:val="00DD1FBF"/>
    <w:rsid w:val="00E11641"/>
    <w:rsid w:val="00E33CDE"/>
    <w:rsid w:val="00E33F4E"/>
    <w:rsid w:val="00E65320"/>
    <w:rsid w:val="00E654E8"/>
    <w:rsid w:val="00E7169B"/>
    <w:rsid w:val="00E93E81"/>
    <w:rsid w:val="00EC1EF8"/>
    <w:rsid w:val="00F00EAA"/>
    <w:rsid w:val="00F6629A"/>
    <w:rsid w:val="00F84299"/>
    <w:rsid w:val="00FB0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0126"/>
    <w:rPr>
      <w:lang w:eastAsia="en-US"/>
    </w:rPr>
  </w:style>
  <w:style w:type="paragraph" w:styleId="Nagwek1">
    <w:name w:val="heading 1"/>
    <w:basedOn w:val="Normalny"/>
    <w:next w:val="Normalny"/>
    <w:uiPriority w:val="9"/>
    <w:qFormat/>
    <w:rsid w:val="00E6532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E6532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E6532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E6532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E65320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E6532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E653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E65320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3">
    <w:name w:val="Table Normal3"/>
    <w:rsid w:val="00E6532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E6532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rsid w:val="00E653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rsid w:val="00BD23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D2312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2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982"/>
    <w:rPr>
      <w:rFonts w:ascii="Tahoma" w:hAnsi="Tahoma" w:cs="Tahoma"/>
      <w:sz w:val="16"/>
      <w:szCs w:val="16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15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156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156A"/>
    <w:rPr>
      <w:vertAlign w:val="superscript"/>
    </w:rPr>
  </w:style>
  <w:style w:type="character" w:customStyle="1" w:styleId="apple-converted-space">
    <w:name w:val="apple-converted-space"/>
    <w:basedOn w:val="Domylnaczcionkaakapitu"/>
    <w:rsid w:val="00C602F1"/>
  </w:style>
  <w:style w:type="paragraph" w:styleId="Akapitzlist">
    <w:name w:val="List Paragraph"/>
    <w:basedOn w:val="Normalny"/>
    <w:uiPriority w:val="34"/>
    <w:qFormat/>
    <w:rsid w:val="0016028F"/>
    <w:pPr>
      <w:ind w:left="720"/>
      <w:contextualSpacing/>
    </w:pPr>
  </w:style>
  <w:style w:type="table" w:styleId="Tabela-Siatka">
    <w:name w:val="Table Grid"/>
    <w:basedOn w:val="Standardowy"/>
    <w:rsid w:val="00BA47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13E3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204A7"/>
    <w:rPr>
      <w:color w:val="800080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5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51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51B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51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51B0"/>
    <w:rPr>
      <w:b/>
      <w:bCs/>
      <w:lang w:eastAsia="en-US"/>
    </w:rPr>
  </w:style>
  <w:style w:type="paragraph" w:styleId="NormalnyWeb">
    <w:name w:val="Normal (Web)"/>
    <w:basedOn w:val="Normalny"/>
    <w:uiPriority w:val="99"/>
    <w:unhideWhenUsed/>
    <w:rsid w:val="00F839FA"/>
    <w:rPr>
      <w:rFonts w:ascii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1931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A402C0"/>
    <w:rPr>
      <w:sz w:val="22"/>
      <w:szCs w:val="22"/>
      <w:lang w:eastAsia="en-US"/>
    </w:rPr>
  </w:style>
  <w:style w:type="paragraph" w:styleId="Podtytu">
    <w:name w:val="Subtitle"/>
    <w:basedOn w:val="Normalny"/>
    <w:next w:val="Normalny"/>
    <w:uiPriority w:val="11"/>
    <w:qFormat/>
    <w:rsid w:val="00E6532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1"/>
    <w:rsid w:val="00E6532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3"/>
    <w:basedOn w:val="TableNormal1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">
    <w:name w:val="2"/>
    <w:basedOn w:val="TableNormal1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1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tab-span">
    <w:name w:val="apple-tab-span"/>
    <w:basedOn w:val="Domylnaczcionkaakapitu"/>
    <w:rsid w:val="002D6AAF"/>
  </w:style>
  <w:style w:type="table" w:customStyle="1" w:styleId="8">
    <w:name w:val="8"/>
    <w:basedOn w:val="TableNormal2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7"/>
    <w:basedOn w:val="TableNormal2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D1DB5"/>
    <w:rPr>
      <w:color w:val="605E5C"/>
      <w:shd w:val="clear" w:color="auto" w:fill="E1DFDD"/>
    </w:rPr>
  </w:style>
  <w:style w:type="table" w:customStyle="1" w:styleId="6">
    <w:name w:val="6"/>
    <w:basedOn w:val="TableNormal3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">
    <w:name w:val="5"/>
    <w:basedOn w:val="TableNormal3"/>
    <w:rsid w:val="00E6532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C60A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750483"/>
    <w:pPr>
      <w:spacing w:after="0" w:line="240" w:lineRule="auto"/>
    </w:pPr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rydfBYYI0VczMcYvbogA+jMTXQ==">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11</Pages>
  <Words>2412</Words>
  <Characters>14477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msobolewska</dc:creator>
  <cp:keywords/>
  <dc:description/>
  <cp:lastModifiedBy>apawlik</cp:lastModifiedBy>
  <cp:revision>16</cp:revision>
  <cp:lastPrinted>2022-03-01T10:18:00Z</cp:lastPrinted>
  <dcterms:created xsi:type="dcterms:W3CDTF">2022-02-08T08:27:00Z</dcterms:created>
  <dcterms:modified xsi:type="dcterms:W3CDTF">2022-03-01T10:19:00Z</dcterms:modified>
</cp:coreProperties>
</file>