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ABB" w:rsidRDefault="00D65ABB" w:rsidP="00D65ABB">
      <w:pPr>
        <w:spacing w:line="256" w:lineRule="auto"/>
        <w:jc w:val="center"/>
        <w:rPr>
          <w:rFonts w:cstheme="minorHAnsi"/>
          <w:b/>
        </w:rPr>
      </w:pPr>
      <w:bookmarkStart w:id="0" w:name="_GoBack"/>
      <w:bookmarkEnd w:id="0"/>
      <w:r>
        <w:rPr>
          <w:rFonts w:cstheme="minorHAnsi"/>
          <w:b/>
        </w:rPr>
        <w:t>CZĘŚĆ III SWZ</w:t>
      </w:r>
    </w:p>
    <w:p w:rsidR="00D65ABB" w:rsidRDefault="00D65ABB" w:rsidP="00D65ABB">
      <w:pPr>
        <w:spacing w:line="25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SZCZEGÓŁOWY OPIS PRZEDMIOTU ZAMÓWIENIA</w:t>
      </w:r>
    </w:p>
    <w:p w:rsidR="00D65ABB" w:rsidRDefault="00D65ABB" w:rsidP="00D65ABB">
      <w:pPr>
        <w:pStyle w:val="Akapitzlist"/>
        <w:widowControl/>
        <w:numPr>
          <w:ilvl w:val="0"/>
          <w:numId w:val="1"/>
        </w:numPr>
        <w:suppressAutoHyphens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Funkcjonalność:</w:t>
      </w:r>
    </w:p>
    <w:p w:rsidR="00D65ABB" w:rsidRDefault="00D65ABB" w:rsidP="00D65ABB">
      <w:pPr>
        <w:pStyle w:val="Akapitzlist"/>
        <w:widowControl/>
        <w:numPr>
          <w:ilvl w:val="1"/>
          <w:numId w:val="2"/>
        </w:num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struktura serwisu może być dowolnie skalowana z panelu CMS (możliwość dowolnej ilości zakładek i podzakładek) przy czym zakłada się min. 5 zakładek  oraz min. 3 podzakładki. Dalsza rozbudowa struktury serwisu o nowe zakładki lub podzakładki możliwa po przeprowadzeniu  szkolenia przez Wykonawcę. </w:t>
      </w:r>
    </w:p>
    <w:p w:rsidR="00D65ABB" w:rsidRDefault="00D65ABB" w:rsidP="00D65ABB">
      <w:pPr>
        <w:pStyle w:val="Akapitzlist"/>
        <w:widowControl/>
        <w:numPr>
          <w:ilvl w:val="1"/>
          <w:numId w:val="2"/>
        </w:num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zaprojektowana przy użyciu RWD,</w:t>
      </w:r>
    </w:p>
    <w:p w:rsidR="00D65ABB" w:rsidRDefault="00D65ABB" w:rsidP="00D65ABB">
      <w:pPr>
        <w:pStyle w:val="Akapitzlist"/>
        <w:widowControl/>
        <w:numPr>
          <w:ilvl w:val="1"/>
          <w:numId w:val="2"/>
        </w:num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CMS zgodnych z aktualnym stanem prawnym i wymogami, jakie powinien spełniać system informatyczny dla oprogramowania dziedzinowego w jednostkach Administracji Publicznej (np.: rozporządzenia Rady Ministrów i inne akty prawne) publikujące treści ze szczególnym uwzględnieniem Rozporządzenia Rady Ministrów </w:t>
      </w:r>
      <w:r>
        <w:rPr>
          <w:rFonts w:asciiTheme="minorHAnsi" w:hAnsiTheme="minorHAnsi" w:cstheme="minorHAnsi"/>
        </w:rPr>
        <w:br/>
        <w:t>z dnia 12 kwietnia 2012 r. w sprawie Krajowych Ram Interoperacyjności, minimalnych wymagań dla rejestrów publicznych,</w:t>
      </w:r>
    </w:p>
    <w:p w:rsidR="00D65ABB" w:rsidRDefault="00D65ABB" w:rsidP="00D65ABB">
      <w:pPr>
        <w:pStyle w:val="Akapitzlist"/>
        <w:widowControl/>
        <w:numPr>
          <w:ilvl w:val="1"/>
          <w:numId w:val="2"/>
        </w:num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różne poziomy dostępu (administrator, moderator, end-user - konfigurowalne w zależności od zapotrzebowania) </w:t>
      </w:r>
    </w:p>
    <w:p w:rsidR="00D65ABB" w:rsidRDefault="00D65ABB" w:rsidP="00D65ABB">
      <w:pPr>
        <w:pStyle w:val="Akapitzlist"/>
        <w:widowControl/>
        <w:numPr>
          <w:ilvl w:val="1"/>
          <w:numId w:val="2"/>
        </w:num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tworzenie, usuwanie, edytowanie treści: miejsca, obiekty, artykuły, galerie (zdjęciowe oraz filmowe), wydarzenia,</w:t>
      </w:r>
    </w:p>
    <w:p w:rsidR="00D65ABB" w:rsidRDefault="00D65ABB" w:rsidP="00D65ABB">
      <w:pPr>
        <w:pStyle w:val="Akapitzlist"/>
        <w:widowControl/>
        <w:numPr>
          <w:ilvl w:val="1"/>
          <w:numId w:val="2"/>
        </w:num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możliwość publikacji plików typu: PDF, XLS, XLSX, DOC, DOCX, ODS, ODT, JPG, BMP, ZIP, RAR, DJVU, PNG, TIFF, TIF, itp.</w:t>
      </w:r>
    </w:p>
    <w:p w:rsidR="00D65ABB" w:rsidRDefault="00D65ABB" w:rsidP="00D65ABB">
      <w:pPr>
        <w:pStyle w:val="Akapitzlist"/>
        <w:widowControl/>
        <w:numPr>
          <w:ilvl w:val="1"/>
          <w:numId w:val="2"/>
        </w:num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możliwa podmiana lub dodanie elementów graficznych(np. grafiki w slider),</w:t>
      </w:r>
    </w:p>
    <w:p w:rsidR="00D65ABB" w:rsidRDefault="00D65ABB" w:rsidP="00D65ABB">
      <w:pPr>
        <w:pStyle w:val="Akapitzlist"/>
        <w:widowControl/>
        <w:numPr>
          <w:ilvl w:val="1"/>
          <w:numId w:val="2"/>
        </w:num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zarządzanie multimediami,</w:t>
      </w:r>
    </w:p>
    <w:p w:rsidR="00D65ABB" w:rsidRDefault="00D65ABB" w:rsidP="00D65ABB">
      <w:pPr>
        <w:pStyle w:val="Akapitzlist"/>
        <w:widowControl/>
        <w:numPr>
          <w:ilvl w:val="1"/>
          <w:numId w:val="2"/>
        </w:num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możliwość obsługi dwóch wersji językowych polski i angielski,</w:t>
      </w:r>
    </w:p>
    <w:p w:rsidR="00D65ABB" w:rsidRDefault="00D65ABB" w:rsidP="00D65ABB">
      <w:pPr>
        <w:pStyle w:val="Akapitzlist"/>
        <w:widowControl/>
        <w:numPr>
          <w:ilvl w:val="1"/>
          <w:numId w:val="2"/>
        </w:num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edytor tekstu wraz z obsługą HTML w standardzie WYSIWYG,</w:t>
      </w:r>
    </w:p>
    <w:p w:rsidR="00D65ABB" w:rsidRDefault="00D65ABB" w:rsidP="00D65ABB">
      <w:pPr>
        <w:pStyle w:val="Akapitzlist"/>
        <w:widowControl/>
        <w:numPr>
          <w:ilvl w:val="1"/>
          <w:numId w:val="2"/>
        </w:numPr>
        <w:suppressAutoHyphens w:val="0"/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system uprawnień pozwalający na weryfikacje zarejestrowanych użytkowników, nadawanie uprawnień, poziom dostępu do informacji,</w:t>
      </w:r>
    </w:p>
    <w:p w:rsidR="00D65ABB" w:rsidRDefault="00D65ABB" w:rsidP="00D65ABB">
      <w:pPr>
        <w:pStyle w:val="Akapitzlist"/>
        <w:widowControl/>
        <w:numPr>
          <w:ilvl w:val="0"/>
          <w:numId w:val="1"/>
        </w:numPr>
        <w:suppressAutoHyphens w:val="0"/>
        <w:spacing w:line="276" w:lineRule="auto"/>
        <w:ind w:left="426" w:hanging="426"/>
        <w:jc w:val="both"/>
        <w:rPr>
          <w:rStyle w:val="file-details"/>
        </w:rPr>
      </w:pPr>
      <w:r>
        <w:rPr>
          <w:rFonts w:asciiTheme="minorHAnsi" w:hAnsiTheme="minorHAnsi" w:cstheme="minorHAnsi"/>
        </w:rPr>
        <w:t xml:space="preserve">Przygotowanie strony zgodnie ze </w:t>
      </w:r>
      <w:r>
        <w:rPr>
          <w:rStyle w:val="file-details"/>
          <w:rFonts w:asciiTheme="minorHAnsi" w:hAnsiTheme="minorHAnsi" w:cstheme="minorHAnsi"/>
        </w:rPr>
        <w:t>Szczegółowymi zasadami promocji i oznakowania projektów zostały opisane w podręczniku: </w:t>
      </w:r>
      <w:hyperlink r:id="rId7" w:tgtFrame="_blank" w:tooltip="Podręcznik - plik w formacie PDF" w:history="1">
        <w:r>
          <w:rPr>
            <w:rStyle w:val="Hipercze"/>
            <w:rFonts w:asciiTheme="minorHAnsi" w:eastAsia="Lucida Sans Unicode" w:hAnsiTheme="minorHAnsi" w:cstheme="minorHAnsi"/>
          </w:rPr>
          <w:t>Komunikacja i identyfikacja wizualna. Fundusze EOG i fundusze norweskie 2014-2021</w:t>
        </w:r>
      </w:hyperlink>
      <w:r>
        <w:rPr>
          <w:rStyle w:val="file-details"/>
          <w:rFonts w:asciiTheme="minorHAnsi" w:hAnsiTheme="minorHAnsi" w:cstheme="minorHAnsi"/>
        </w:rPr>
        <w:t xml:space="preserve"> umieszczonym na stronie</w:t>
      </w:r>
    </w:p>
    <w:p w:rsidR="00D65ABB" w:rsidRDefault="00D65ABB" w:rsidP="00D65ABB">
      <w:pPr>
        <w:pStyle w:val="Akapitzlist"/>
        <w:ind w:left="426"/>
        <w:jc w:val="both"/>
      </w:pPr>
      <w:hyperlink r:id="rId8" w:history="1">
        <w:r>
          <w:rPr>
            <w:rStyle w:val="Hipercze"/>
            <w:rFonts w:asciiTheme="minorHAnsi" w:eastAsia="Lucida Sans Unicode" w:hAnsiTheme="minorHAnsi" w:cstheme="minorHAnsi"/>
          </w:rPr>
          <w:t>https://www.eog.gov.pl/media/70757/Podrecznik_komunikacji_EOG_Nor_PL.pdf</w:t>
        </w:r>
      </w:hyperlink>
    </w:p>
    <w:p w:rsidR="00D65ABB" w:rsidRDefault="00D65ABB" w:rsidP="00D65ABB">
      <w:pPr>
        <w:pStyle w:val="Akapitzlist"/>
        <w:widowControl/>
        <w:numPr>
          <w:ilvl w:val="0"/>
          <w:numId w:val="1"/>
        </w:num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Przygotowanie strony zgodnie z Ustawą z dnia 4 kwietnia 2019 r. o dostępności cyfrowej stron internetowych i aplikacji mobilnych podmiotów publicznych</w:t>
      </w:r>
    </w:p>
    <w:p w:rsidR="00D65ABB" w:rsidRDefault="00D65ABB" w:rsidP="00D65ABB">
      <w:pPr>
        <w:pStyle w:val="Akapitzlist"/>
        <w:widowControl/>
        <w:numPr>
          <w:ilvl w:val="0"/>
          <w:numId w:val="1"/>
        </w:num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Obsługa powdrożeniowa witryny internetowej w okresie realizacji projektu, tj. do 31 marca 2024 r. roku, obejmująca świadczenie usługi hostingowej i opieki serwisowej strony internetowej. Po tym terminie Zamawiający przejmuje na siebie obowiązek usługi hostingowej oraz opieki serwisowej strony internetowej.</w:t>
      </w:r>
    </w:p>
    <w:p w:rsidR="00D65ABB" w:rsidRDefault="00D65ABB" w:rsidP="00D65ABB">
      <w:pPr>
        <w:pStyle w:val="Akapitzlist"/>
        <w:widowControl/>
        <w:numPr>
          <w:ilvl w:val="0"/>
          <w:numId w:val="1"/>
        </w:num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Pozycjonowanie poprzez optymalizację strony głównej, podstron i baz do poprawnego wyświetlania i wyszukiwania treści  oraz ofert w wyszukiwarkach  internetowych.</w:t>
      </w:r>
    </w:p>
    <w:p w:rsidR="00D65ABB" w:rsidRDefault="00D65ABB" w:rsidP="00D65ABB">
      <w:pPr>
        <w:pStyle w:val="Akapitzlist"/>
        <w:widowControl/>
        <w:numPr>
          <w:ilvl w:val="0"/>
          <w:numId w:val="1"/>
        </w:num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Strona powinna posiadać system statystyk. </w:t>
      </w:r>
    </w:p>
    <w:p w:rsidR="00D65ABB" w:rsidRDefault="00D65ABB" w:rsidP="00D65ABB">
      <w:pPr>
        <w:pStyle w:val="Akapitzlist"/>
        <w:widowControl/>
        <w:numPr>
          <w:ilvl w:val="0"/>
          <w:numId w:val="1"/>
        </w:num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Domena kupiona i przechowywana w obrębie infrastruktury zleceniodawcy. Domena internetowa kupiona na cały okres życia strony rozumiany jako całkowity czas trwania projektu oraz jego trwałości (</w:t>
      </w:r>
      <w:r>
        <w:rPr>
          <w:rStyle w:val="file-details"/>
          <w:rFonts w:asciiTheme="minorHAnsi" w:hAnsiTheme="minorHAnsi" w:cstheme="minorHAnsi"/>
        </w:rPr>
        <w:t>Okres trwałości projektów inwestycyjnych wynosi co najmniej pięć lat, licząc od zatwierdzenia przez Operatora Programu raportu końcowego z wdrażania projektu). Nazwa domeny uzgodniona z Zamawiającym.</w:t>
      </w:r>
    </w:p>
    <w:p w:rsidR="00D65ABB" w:rsidRDefault="00D65ABB" w:rsidP="00D65ABB">
      <w:pPr>
        <w:pStyle w:val="Akapitzlist"/>
        <w:widowControl/>
        <w:numPr>
          <w:ilvl w:val="0"/>
          <w:numId w:val="1"/>
        </w:numPr>
        <w:suppressAutoHyphens w:val="0"/>
        <w:spacing w:after="200" w:line="276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Infrastruktura serwerowa zapewniona przez zleceniobiorcę na cały czas trwania projektu. Przekazanie danych dostępowych do panelu zarządzania stroną internetową (CMS).</w:t>
      </w:r>
    </w:p>
    <w:p w:rsidR="00D65ABB" w:rsidRDefault="00D65ABB" w:rsidP="00D65ABB">
      <w:pPr>
        <w:pStyle w:val="Akapitzlist"/>
        <w:widowControl/>
        <w:numPr>
          <w:ilvl w:val="0"/>
          <w:numId w:val="1"/>
        </w:numPr>
        <w:suppressAutoHyphens w:val="0"/>
        <w:spacing w:after="200" w:line="276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Strona internetowa projektu będzie zawierać podstrony internetowe zawierające informacje w języku angielskim (jak również w języku narodowym). </w:t>
      </w:r>
    </w:p>
    <w:p w:rsidR="00D65ABB" w:rsidRDefault="00D65ABB" w:rsidP="00D65ABB">
      <w:pPr>
        <w:pStyle w:val="Akapitzlist"/>
        <w:widowControl/>
        <w:numPr>
          <w:ilvl w:val="0"/>
          <w:numId w:val="1"/>
        </w:numPr>
        <w:suppressAutoHyphens w:val="0"/>
        <w:spacing w:after="200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Strona internetowa w standardzie WCAG 2.1 zgodnie z </w:t>
      </w:r>
      <w:hyperlink r:id="rId9" w:history="1">
        <w:r>
          <w:rPr>
            <w:rStyle w:val="Hipercze"/>
            <w:rFonts w:asciiTheme="minorHAnsi" w:eastAsia="Lucida Sans Unicode" w:hAnsiTheme="minorHAnsi" w:cstheme="minorHAnsi"/>
          </w:rPr>
          <w:t>Ustawą z 4 kwietnia 2019 r. o dostępności cyfrowej stron internetowych i aplikacji mobilnych podmiotów publicznych</w:t>
        </w:r>
      </w:hyperlink>
    </w:p>
    <w:p w:rsidR="00D65ABB" w:rsidRDefault="00D65ABB" w:rsidP="00D65ABB">
      <w:pPr>
        <w:pStyle w:val="Akapitzlist"/>
        <w:ind w:left="0"/>
        <w:jc w:val="both"/>
        <w:rPr>
          <w:rFonts w:asciiTheme="minorHAnsi" w:hAnsiTheme="minorHAnsi" w:cstheme="minorHAnsi"/>
        </w:rPr>
      </w:pPr>
    </w:p>
    <w:p w:rsidR="00D65ABB" w:rsidRDefault="00D65ABB" w:rsidP="00D65ABB">
      <w:pPr>
        <w:jc w:val="both"/>
        <w:rPr>
          <w:rFonts w:ascii="Times New Roman" w:hAnsi="Times New Roman" w:cs="Times New Roman"/>
        </w:rPr>
      </w:pPr>
    </w:p>
    <w:p w:rsidR="005C61A5" w:rsidRDefault="005C61A5"/>
    <w:sectPr w:rsidR="005C61A5" w:rsidSect="0087186B">
      <w:headerReference w:type="default" r:id="rId10"/>
      <w:footerReference w:type="default" r:id="rId11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2E2" w:rsidRDefault="001932E2" w:rsidP="005C61A5">
      <w:pPr>
        <w:spacing w:after="0" w:line="240" w:lineRule="auto"/>
      </w:pPr>
      <w:r>
        <w:separator/>
      </w:r>
    </w:p>
  </w:endnote>
  <w:endnote w:type="continuationSeparator" w:id="1">
    <w:p w:rsidR="001932E2" w:rsidRDefault="001932E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C34DE4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C34DE4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2E2" w:rsidRDefault="001932E2" w:rsidP="005C61A5">
      <w:pPr>
        <w:spacing w:after="0" w:line="240" w:lineRule="auto"/>
      </w:pPr>
      <w:r>
        <w:separator/>
      </w:r>
    </w:p>
  </w:footnote>
  <w:footnote w:type="continuationSeparator" w:id="1">
    <w:p w:rsidR="001932E2" w:rsidRDefault="001932E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C34DE4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C34DE4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C34DE4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81F11"/>
    <w:multiLevelType w:val="hybridMultilevel"/>
    <w:tmpl w:val="ECB4669E"/>
    <w:lvl w:ilvl="0" w:tplc="0415000F">
      <w:start w:val="1"/>
      <w:numFmt w:val="decimal"/>
      <w:lvlText w:val="%1."/>
      <w:lvlJc w:val="left"/>
      <w:pPr>
        <w:ind w:left="433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1D7E11"/>
    <w:multiLevelType w:val="hybridMultilevel"/>
    <w:tmpl w:val="5956CBA8"/>
    <w:lvl w:ilvl="0" w:tplc="60449782">
      <w:start w:val="1"/>
      <w:numFmt w:val="decimal"/>
      <w:lvlText w:val="%1."/>
      <w:lvlJc w:val="left"/>
      <w:pPr>
        <w:ind w:left="433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717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1932E2"/>
    <w:rsid w:val="001B7887"/>
    <w:rsid w:val="005C61A5"/>
    <w:rsid w:val="00660D60"/>
    <w:rsid w:val="0087186B"/>
    <w:rsid w:val="009D3365"/>
    <w:rsid w:val="00C030E6"/>
    <w:rsid w:val="00C34DE4"/>
    <w:rsid w:val="00D65ABB"/>
    <w:rsid w:val="00F41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uiPriority w:val="99"/>
    <w:semiHidden/>
    <w:unhideWhenUsed/>
    <w:rsid w:val="00D65AB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65ABB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ile-details">
    <w:name w:val="file-details"/>
    <w:basedOn w:val="Domylnaczcionkaakapitu"/>
    <w:rsid w:val="00D65A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5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og.gov.pl/media/70757/Podrecznik_komunikacji_EOG_Nor_PL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og.gov.pl/media/70757/Podrecznik_komunikacji_EOG_Nor_PL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isap.sejm.gov.pl/isap.nsf/download.xsp/WDU20190000848/T/D20190848L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523</Words>
  <Characters>3143</Characters>
  <Application>Microsoft Office Word</Application>
  <DocSecurity>0</DocSecurity>
  <Lines>26</Lines>
  <Paragraphs>7</Paragraphs>
  <ScaleCrop>false</ScaleCrop>
  <Company/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</cp:revision>
  <dcterms:created xsi:type="dcterms:W3CDTF">2021-12-14T09:08:00Z</dcterms:created>
  <dcterms:modified xsi:type="dcterms:W3CDTF">2021-12-14T10:33:00Z</dcterms:modified>
</cp:coreProperties>
</file>