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62847" w14:textId="77777777" w:rsidR="002648DA" w:rsidRDefault="002648DA" w:rsidP="002648DA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bookmarkStart w:id="0" w:name="_GoBack"/>
      <w:bookmarkEnd w:id="0"/>
    </w:p>
    <w:p w14:paraId="6963D3E1" w14:textId="77777777" w:rsidR="002648DA" w:rsidRDefault="002648DA" w:rsidP="002648DA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>UZASADNIENIE</w:t>
      </w:r>
    </w:p>
    <w:p w14:paraId="35C43F66" w14:textId="77777777" w:rsidR="002648DA" w:rsidRPr="004406F5" w:rsidRDefault="002648DA" w:rsidP="002648DA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381DE121" w14:textId="1D3EED9B" w:rsidR="002648DA" w:rsidRDefault="002648DA" w:rsidP="002648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 xml:space="preserve">do projektu uchwały Rady Miejskiej Tomaszowa Mazowieckiego 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w sprawie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zmiany uchwały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  <w:t xml:space="preserve">nr XLIII/316/2021 Rady Miejskiej Tomaszowa Mazowieckiego z dnia 25 marca 2021 roku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  <w:t xml:space="preserve">w sprawie 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określenia szczegółowego trybu i harmonogramu opracowania projektu Strategii rozwoju miasta Tomaszowa Mazowieckiego 2030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, w tym trybu konsultacji</w:t>
      </w:r>
    </w:p>
    <w:p w14:paraId="610171A6" w14:textId="77777777" w:rsidR="002648DA" w:rsidRPr="004406F5" w:rsidRDefault="002648DA" w:rsidP="002648D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color w:val="283584"/>
          <w:sz w:val="24"/>
          <w:szCs w:val="24"/>
        </w:rPr>
      </w:pPr>
    </w:p>
    <w:p w14:paraId="0F81F69B" w14:textId="2B8804B8" w:rsidR="001B1BB5" w:rsidRPr="001B1BB5" w:rsidRDefault="002648DA" w:rsidP="001B1BB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eastAsia="NSimSun" w:hAnsi="Calibri Light" w:cs="Calibri Light"/>
          <w:color w:val="00000A"/>
          <w:sz w:val="24"/>
          <w:szCs w:val="24"/>
          <w:lang w:eastAsia="zh-CN"/>
        </w:rPr>
      </w:pPr>
      <w:r w:rsidRPr="001B1BB5">
        <w:rPr>
          <w:rFonts w:ascii="Calibri Light" w:hAnsi="Calibri Light" w:cs="Calibri Light"/>
          <w:color w:val="000000"/>
          <w:sz w:val="24"/>
          <w:szCs w:val="24"/>
        </w:rPr>
        <w:t xml:space="preserve">W dniu </w:t>
      </w:r>
      <w:r w:rsidRPr="001B1BB5">
        <w:rPr>
          <w:rFonts w:ascii="Calibri Light" w:eastAsia="NSimSun" w:hAnsi="Calibri Light" w:cs="Calibri Light"/>
          <w:color w:val="00000A"/>
          <w:sz w:val="24"/>
          <w:szCs w:val="24"/>
          <w:lang w:eastAsia="zh-CN"/>
        </w:rPr>
        <w:t xml:space="preserve">15 kwietnia 2021 r. wpłynęło do Urzędu Miasta w Tomaszowie Mazowieckim zawiadomienie o wszczęciu postępowania w celu kontroli legalności uchwały Nr XLIII/316/2021 Rady Miejskiej Tomaszowa Mazowieckiego z dnia 25 marca 2021 r. w sprawie określenia szczegółowego trybu i harmonogramu opracowania projektu Strategii rozwoju miasta Tomaszowa Mazowieckiego 2030, w tym trybu konsultacji. </w:t>
      </w:r>
    </w:p>
    <w:p w14:paraId="798F177E" w14:textId="77777777" w:rsidR="001B1BB5" w:rsidRPr="001B1BB5" w:rsidRDefault="001B1BB5" w:rsidP="001B1BB5">
      <w:pPr>
        <w:numPr>
          <w:ilvl w:val="0"/>
          <w:numId w:val="1"/>
        </w:numPr>
        <w:suppressAutoHyphens/>
        <w:spacing w:after="0" w:line="276" w:lineRule="auto"/>
        <w:ind w:firstLine="540"/>
        <w:jc w:val="both"/>
        <w:rPr>
          <w:rFonts w:ascii="Calibri Light" w:hAnsi="Calibri Light" w:cs="Calibri Light"/>
        </w:rPr>
      </w:pPr>
      <w:r w:rsidRPr="001B1BB5">
        <w:rPr>
          <w:rFonts w:ascii="Calibri Light" w:hAnsi="Calibri Light" w:cs="Calibri Light"/>
          <w:color w:val="000000"/>
          <w:sz w:val="24"/>
          <w:szCs w:val="24"/>
        </w:rPr>
        <w:t>Zastrzeżeni</w:t>
      </w:r>
      <w:r>
        <w:rPr>
          <w:rFonts w:ascii="Calibri Light" w:hAnsi="Calibri Light" w:cs="Calibri Light"/>
          <w:color w:val="000000"/>
          <w:sz w:val="24"/>
          <w:szCs w:val="24"/>
        </w:rPr>
        <w:t>e</w:t>
      </w:r>
      <w:r w:rsidRPr="001B1BB5">
        <w:rPr>
          <w:rFonts w:ascii="Calibri Light" w:hAnsi="Calibri Light" w:cs="Calibri Light"/>
          <w:color w:val="000000"/>
          <w:sz w:val="24"/>
          <w:szCs w:val="24"/>
        </w:rPr>
        <w:t xml:space="preserve"> organu nadzoru budzi</w:t>
      </w:r>
      <w:r>
        <w:rPr>
          <w:rFonts w:ascii="Calibri Light" w:hAnsi="Calibri Light" w:cs="Calibri Light"/>
          <w:color w:val="000000"/>
          <w:sz w:val="24"/>
          <w:szCs w:val="24"/>
        </w:rPr>
        <w:t>ł</w:t>
      </w:r>
      <w:r w:rsidRPr="001B1BB5">
        <w:rPr>
          <w:rFonts w:ascii="Calibri Light" w:hAnsi="Calibri Light" w:cs="Calibri Light"/>
          <w:color w:val="000000"/>
          <w:sz w:val="24"/>
          <w:szCs w:val="24"/>
        </w:rPr>
        <w:t xml:space="preserve"> zapis § 4 uchwały, zgodnie z którym uchwała wchodzi w życie po upływie 14 dni od daty jej ogłoszenia w Dzienniku Urzędowym Województwa Łódzkiego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. Zgodnie ze wskazaniem organu nadzoru </w:t>
      </w:r>
      <w:r w:rsidRPr="001B1BB5">
        <w:rPr>
          <w:rFonts w:ascii="Calibri Light" w:hAnsi="Calibri Light" w:cs="Calibri Light"/>
          <w:color w:val="000000"/>
          <w:sz w:val="24"/>
          <w:szCs w:val="24"/>
        </w:rPr>
        <w:t>uchwała w sprawie określenia szczegółowego trybu i harmonogramu opracowania projektu Strategii rozwoju miasta</w:t>
      </w:r>
      <w:r w:rsidRPr="001B1BB5">
        <w:rPr>
          <w:rFonts w:ascii="Calibri Light" w:hAnsi="Calibri Light" w:cs="Calibri Light"/>
          <w:sz w:val="24"/>
          <w:szCs w:val="24"/>
        </w:rPr>
        <w:t xml:space="preserve"> </w:t>
      </w:r>
      <w:r w:rsidRPr="001B1BB5">
        <w:rPr>
          <w:rFonts w:ascii="Calibri Light" w:hAnsi="Calibri Light" w:cs="Calibri Light"/>
          <w:color w:val="000000"/>
          <w:sz w:val="24"/>
          <w:szCs w:val="24"/>
        </w:rPr>
        <w:t xml:space="preserve">nie podlega publikacji z uwagi na to, że nie stanowi aktu prawa miejscowego, a obowiązku jej opublikowania nie przewiduje żaden przepis szczególny. </w:t>
      </w:r>
    </w:p>
    <w:p w14:paraId="1BC14F89" w14:textId="7870A3E6" w:rsidR="002648DA" w:rsidRDefault="001B1BB5" w:rsidP="001B1BB5">
      <w:pPr>
        <w:numPr>
          <w:ilvl w:val="0"/>
          <w:numId w:val="1"/>
        </w:numPr>
        <w:suppressAutoHyphens/>
        <w:spacing w:after="0" w:line="276" w:lineRule="auto"/>
        <w:ind w:firstLine="5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Przychylając się do </w:t>
      </w:r>
      <w:r w:rsidR="009632EE">
        <w:rPr>
          <w:rFonts w:ascii="Calibri Light" w:hAnsi="Calibri Light" w:cs="Calibri Light"/>
          <w:color w:val="000000"/>
          <w:sz w:val="24"/>
          <w:szCs w:val="24"/>
        </w:rPr>
        <w:t xml:space="preserve">istotnie słusznego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zastrzeżenia zasadne jest dokonanie zmiany przedmiotowej uchwały. </w:t>
      </w:r>
    </w:p>
    <w:p w14:paraId="6214F85C" w14:textId="77777777" w:rsidR="002648DA" w:rsidRDefault="002648DA" w:rsidP="002648DA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88C719" w14:textId="77777777" w:rsidR="002648DA" w:rsidRDefault="002648DA" w:rsidP="002648DA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6F4AF693" w14:textId="77777777" w:rsidR="002648DA" w:rsidRDefault="002648DA" w:rsidP="002648DA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29E26635" w14:textId="77777777" w:rsidR="002648DA" w:rsidRDefault="002648DA" w:rsidP="002648DA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6D77BC05" w14:textId="77777777" w:rsidR="002648DA" w:rsidRPr="00A33E0D" w:rsidRDefault="002648DA" w:rsidP="002648DA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61187050" w14:textId="77777777" w:rsidR="00AE0CED" w:rsidRDefault="00AE0CED"/>
    <w:sectPr w:rsidR="00AE0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3351D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8DA"/>
    <w:rsid w:val="001B1BB5"/>
    <w:rsid w:val="002648DA"/>
    <w:rsid w:val="00326380"/>
    <w:rsid w:val="005B23EE"/>
    <w:rsid w:val="009632EE"/>
    <w:rsid w:val="00AB5782"/>
    <w:rsid w:val="00AE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FA02C"/>
  <w15:chartTrackingRefBased/>
  <w15:docId w15:val="{637A290A-7052-4A33-A0DC-2391109F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8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ekarp</cp:lastModifiedBy>
  <cp:revision>2</cp:revision>
  <dcterms:created xsi:type="dcterms:W3CDTF">2021-04-23T08:20:00Z</dcterms:created>
  <dcterms:modified xsi:type="dcterms:W3CDTF">2021-04-23T08:20:00Z</dcterms:modified>
</cp:coreProperties>
</file>