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0ED" w:rsidRPr="009160ED" w:rsidRDefault="009160ED" w:rsidP="009160ED">
      <w:pPr>
        <w:keepNext/>
        <w:numPr>
          <w:ilvl w:val="2"/>
          <w:numId w:val="0"/>
        </w:numPr>
        <w:tabs>
          <w:tab w:val="num" w:pos="9781"/>
        </w:tabs>
        <w:spacing w:before="240" w:after="240" w:line="360" w:lineRule="auto"/>
        <w:ind w:left="9639"/>
        <w:jc w:val="left"/>
        <w:outlineLvl w:val="2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Załącznik</w:t>
      </w:r>
      <w:r w:rsidR="00FD252C">
        <w:rPr>
          <w:rFonts w:ascii="Tahoma" w:eastAsia="Times New Roman" w:hAnsi="Tahoma" w:cs="Tahoma"/>
          <w:lang w:eastAsia="pl-PL"/>
        </w:rPr>
        <w:t xml:space="preserve"> nr 1</w:t>
      </w:r>
      <w:r>
        <w:rPr>
          <w:rFonts w:ascii="Tahoma" w:eastAsia="Times New Roman" w:hAnsi="Tahoma" w:cs="Tahoma"/>
          <w:lang w:eastAsia="pl-PL"/>
        </w:rPr>
        <w:br/>
        <w:t>do Strategii Rozwoju Elektromobilności</w:t>
      </w:r>
      <w:r>
        <w:rPr>
          <w:rFonts w:ascii="Tahoma" w:eastAsia="Times New Roman" w:hAnsi="Tahoma" w:cs="Tahoma"/>
          <w:lang w:eastAsia="pl-PL"/>
        </w:rPr>
        <w:br/>
        <w:t xml:space="preserve">dla </w:t>
      </w:r>
      <w:r w:rsidR="00FD252C">
        <w:rPr>
          <w:rFonts w:ascii="Tahoma" w:eastAsia="Times New Roman" w:hAnsi="Tahoma" w:cs="Tahoma"/>
          <w:lang w:eastAsia="pl-PL"/>
        </w:rPr>
        <w:t>M</w:t>
      </w:r>
      <w:r>
        <w:rPr>
          <w:rFonts w:ascii="Tahoma" w:eastAsia="Times New Roman" w:hAnsi="Tahoma" w:cs="Tahoma"/>
          <w:lang w:eastAsia="pl-PL"/>
        </w:rPr>
        <w:t>iasta Tomaszowa Mazowieckiego</w:t>
      </w:r>
    </w:p>
    <w:p w:rsidR="00173252" w:rsidRPr="00173252" w:rsidRDefault="00FD252C" w:rsidP="00FD252C">
      <w:pPr>
        <w:keepNext/>
        <w:numPr>
          <w:ilvl w:val="2"/>
          <w:numId w:val="0"/>
        </w:numPr>
        <w:tabs>
          <w:tab w:val="num" w:pos="567"/>
        </w:tabs>
        <w:spacing w:before="240" w:line="360" w:lineRule="auto"/>
        <w:ind w:left="142"/>
        <w:jc w:val="center"/>
        <w:outlineLvl w:val="2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Raport z konsultacji społecznych</w:t>
      </w:r>
      <w:r>
        <w:rPr>
          <w:rFonts w:ascii="Tahoma" w:eastAsia="Times New Roman" w:hAnsi="Tahoma" w:cs="Tahoma"/>
          <w:b/>
          <w:lang w:eastAsia="pl-PL"/>
        </w:rPr>
        <w:br/>
        <w:t>– s</w:t>
      </w:r>
      <w:r w:rsidR="009160ED">
        <w:rPr>
          <w:rFonts w:ascii="Tahoma" w:eastAsia="Times New Roman" w:hAnsi="Tahoma" w:cs="Tahoma"/>
          <w:b/>
          <w:lang w:eastAsia="pl-PL"/>
        </w:rPr>
        <w:t>posób rozpatrzenia wniosków</w:t>
      </w:r>
      <w:r>
        <w:rPr>
          <w:rFonts w:ascii="Tahoma" w:eastAsia="Times New Roman" w:hAnsi="Tahoma" w:cs="Tahoma"/>
          <w:b/>
          <w:lang w:eastAsia="pl-PL"/>
        </w:rPr>
        <w:t xml:space="preserve"> </w:t>
      </w:r>
      <w:r w:rsidR="009160ED">
        <w:rPr>
          <w:rFonts w:ascii="Tahoma" w:eastAsia="Times New Roman" w:hAnsi="Tahoma" w:cs="Tahoma"/>
          <w:b/>
          <w:lang w:eastAsia="pl-PL"/>
        </w:rPr>
        <w:t>zawartych</w:t>
      </w:r>
      <w:r w:rsidR="00173252">
        <w:rPr>
          <w:rFonts w:ascii="Tahoma" w:eastAsia="Times New Roman" w:hAnsi="Tahoma" w:cs="Tahoma"/>
          <w:b/>
          <w:lang w:eastAsia="pl-PL"/>
        </w:rPr>
        <w:t xml:space="preserve"> w opiniach zgłoszonych w trakcie konsultacji społecznych projektu</w:t>
      </w:r>
      <w:r w:rsidR="00173252">
        <w:rPr>
          <w:rFonts w:ascii="Tahoma" w:eastAsia="Times New Roman" w:hAnsi="Tahoma" w:cs="Tahoma"/>
          <w:b/>
          <w:lang w:eastAsia="pl-PL"/>
        </w:rPr>
        <w:br/>
        <w:t>„Strategi</w:t>
      </w:r>
      <w:r>
        <w:rPr>
          <w:rFonts w:ascii="Tahoma" w:eastAsia="Times New Roman" w:hAnsi="Tahoma" w:cs="Tahoma"/>
          <w:b/>
          <w:lang w:eastAsia="pl-PL"/>
        </w:rPr>
        <w:t>i</w:t>
      </w:r>
      <w:r w:rsidR="00173252">
        <w:rPr>
          <w:rFonts w:ascii="Tahoma" w:eastAsia="Times New Roman" w:hAnsi="Tahoma" w:cs="Tahoma"/>
          <w:b/>
          <w:lang w:eastAsia="pl-PL"/>
        </w:rPr>
        <w:t xml:space="preserve"> Rozwoju Elektromobilności dla Miasta Tomaszowa Mazowieckiego”</w:t>
      </w:r>
    </w:p>
    <w:tbl>
      <w:tblPr>
        <w:tblStyle w:val="Tabela-Siatka"/>
        <w:tblW w:w="14005" w:type="dxa"/>
        <w:tblLayout w:type="fixed"/>
        <w:tblLook w:val="04A0"/>
      </w:tblPr>
      <w:tblGrid>
        <w:gridCol w:w="705"/>
        <w:gridCol w:w="4114"/>
        <w:gridCol w:w="4114"/>
        <w:gridCol w:w="2411"/>
        <w:gridCol w:w="2661"/>
      </w:tblGrid>
      <w:tr w:rsidR="00761C00" w:rsidTr="00FD252C">
        <w:trPr>
          <w:cantSplit/>
          <w:tblHeader/>
        </w:trPr>
        <w:tc>
          <w:tcPr>
            <w:tcW w:w="704" w:type="dxa"/>
            <w:shd w:val="clear" w:color="auto" w:fill="FFFF99"/>
            <w:vAlign w:val="center"/>
          </w:tcPr>
          <w:p w:rsidR="00FE210C" w:rsidRPr="00FE210C" w:rsidRDefault="00FE210C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FE210C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11" w:type="dxa"/>
            <w:shd w:val="clear" w:color="auto" w:fill="FFFF99"/>
            <w:vAlign w:val="center"/>
          </w:tcPr>
          <w:p w:rsidR="00FE210C" w:rsidRPr="00FE210C" w:rsidRDefault="00F87CA2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Uwaga</w:t>
            </w:r>
            <w:r w:rsidR="00FE210C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/propozycja</w:t>
            </w:r>
          </w:p>
        </w:tc>
        <w:tc>
          <w:tcPr>
            <w:tcW w:w="4111" w:type="dxa"/>
            <w:shd w:val="clear" w:color="auto" w:fill="FFFF99"/>
            <w:vAlign w:val="center"/>
          </w:tcPr>
          <w:p w:rsidR="00FE210C" w:rsidRPr="00FE210C" w:rsidRDefault="00FE210C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Uzasadnienie uwagi</w:t>
            </w:r>
          </w:p>
        </w:tc>
        <w:tc>
          <w:tcPr>
            <w:tcW w:w="2409" w:type="dxa"/>
            <w:shd w:val="clear" w:color="auto" w:fill="FFFF99"/>
            <w:vAlign w:val="center"/>
          </w:tcPr>
          <w:p w:rsidR="00FE210C" w:rsidRPr="00FE210C" w:rsidRDefault="006976AB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Odniesienie</w:t>
            </w:r>
            <w:r w:rsidR="0022308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do</w:t>
            </w:r>
            <w:r w:rsidR="0094564A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 </w:t>
            </w: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Strategii Rozwoju Elektromobilności</w:t>
            </w:r>
          </w:p>
        </w:tc>
        <w:tc>
          <w:tcPr>
            <w:tcW w:w="2659" w:type="dxa"/>
            <w:shd w:val="clear" w:color="auto" w:fill="FFFF99"/>
            <w:vAlign w:val="center"/>
          </w:tcPr>
          <w:p w:rsidR="00FE210C" w:rsidRPr="00FE210C" w:rsidRDefault="006976AB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Stano</w:t>
            </w:r>
            <w:r w:rsidR="00383A6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wisko</w:t>
            </w:r>
            <w:r w:rsidR="00383A6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br/>
              <w:t>Gminy Miasto</w:t>
            </w:r>
            <w:r w:rsidR="00383A6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br/>
              <w:t>Tomaszów Mazowiecki</w:t>
            </w:r>
          </w:p>
        </w:tc>
      </w:tr>
      <w:tr w:rsidR="00C7627F" w:rsidRPr="00E72671" w:rsidTr="00FD252C">
        <w:trPr>
          <w:cantSplit/>
        </w:trPr>
        <w:tc>
          <w:tcPr>
            <w:tcW w:w="13994" w:type="dxa"/>
            <w:gridSpan w:val="5"/>
            <w:shd w:val="clear" w:color="auto" w:fill="FFF2CC" w:themeFill="accent4" w:themeFillTint="33"/>
          </w:tcPr>
          <w:p w:rsidR="00C7627F" w:rsidRPr="00C7627F" w:rsidRDefault="00C7627F" w:rsidP="00FD252C">
            <w:pPr>
              <w:pStyle w:val="Akapitzlist"/>
              <w:numPr>
                <w:ilvl w:val="0"/>
                <w:numId w:val="3"/>
              </w:numPr>
              <w:spacing w:before="60" w:after="20" w:line="264" w:lineRule="auto"/>
              <w:ind w:left="470" w:hanging="357"/>
              <w:contextualSpacing w:val="0"/>
              <w:rPr>
                <w:rFonts w:ascii="Tahoma" w:eastAsia="Times New Roman" w:hAnsi="Tahoma" w:cs="Tahoma"/>
                <w:b/>
                <w:i/>
                <w:sz w:val="20"/>
                <w:szCs w:val="20"/>
                <w:lang w:eastAsia="pl-PL"/>
              </w:rPr>
            </w:pPr>
            <w:r w:rsidRPr="00C7627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Zgłaszający: </w:t>
            </w:r>
            <w:r w:rsidR="00FD252C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osoba fizyczna</w:t>
            </w:r>
          </w:p>
        </w:tc>
      </w:tr>
      <w:tr w:rsidR="00733EA8" w:rsidTr="00FD252C">
        <w:trPr>
          <w:cantSplit/>
        </w:trPr>
        <w:tc>
          <w:tcPr>
            <w:tcW w:w="704" w:type="dxa"/>
          </w:tcPr>
          <w:p w:rsidR="00FE210C" w:rsidRPr="00FE210C" w:rsidRDefault="00E72671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4111" w:type="dxa"/>
          </w:tcPr>
          <w:p w:rsidR="00FE210C" w:rsidRPr="00FE210C" w:rsidRDefault="00E72671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Dodanie </w:t>
            </w:r>
            <w:r w:rsidR="00FD252C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słowa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projekt przed dokumentem </w:t>
            </w:r>
            <w:r w:rsidRPr="00E72671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„Strategi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</w:t>
            </w:r>
            <w:r w:rsidRPr="00E72671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Rozwoju Miasta Tomaszowa M</w:t>
            </w:r>
            <w:r w:rsidRPr="00E72671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</w:t>
            </w:r>
            <w:r w:rsidRPr="00E72671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zowieckiego na lata 2015-2020”</w:t>
            </w:r>
          </w:p>
        </w:tc>
        <w:tc>
          <w:tcPr>
            <w:tcW w:w="4111" w:type="dxa"/>
          </w:tcPr>
          <w:p w:rsidR="00FE210C" w:rsidRPr="00FE210C" w:rsidRDefault="00761C00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Dokument nie został przyjęty przez Radę Miejską Tomaszowa Mazowieckiego</w:t>
            </w:r>
          </w:p>
        </w:tc>
        <w:tc>
          <w:tcPr>
            <w:tcW w:w="2409" w:type="dxa"/>
          </w:tcPr>
          <w:p w:rsidR="00FE210C" w:rsidRPr="00FE210C" w:rsidRDefault="00B25037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1,</w:t>
            </w:r>
            <w:r w:rsid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pkt 1.4,</w:t>
            </w:r>
            <w:r w:rsid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br/>
              <w:t>s</w:t>
            </w:r>
            <w:r w:rsidR="00E72671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tr. 10</w:t>
            </w:r>
          </w:p>
        </w:tc>
        <w:tc>
          <w:tcPr>
            <w:tcW w:w="2659" w:type="dxa"/>
          </w:tcPr>
          <w:p w:rsidR="00FE210C" w:rsidRPr="00FD252C" w:rsidRDefault="00E8601C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Uwagę uwzględniono</w:t>
            </w:r>
          </w:p>
        </w:tc>
      </w:tr>
      <w:tr w:rsidR="00733EA8" w:rsidTr="00FD252C">
        <w:trPr>
          <w:cantSplit/>
        </w:trPr>
        <w:tc>
          <w:tcPr>
            <w:tcW w:w="704" w:type="dxa"/>
          </w:tcPr>
          <w:p w:rsidR="00FE210C" w:rsidRPr="00FE210C" w:rsidRDefault="00761C00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4111" w:type="dxa"/>
          </w:tcPr>
          <w:p w:rsidR="00FE210C" w:rsidRPr="00FE210C" w:rsidRDefault="00761C00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Dodanie do charakterystyki Tomaszowa Mazowieckiego </w:t>
            </w:r>
            <w:r w:rsidR="00FD252C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sformułowania: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„tracącym dotychczasowe funkcje społeczno-gospodarcze”</w:t>
            </w:r>
          </w:p>
        </w:tc>
        <w:tc>
          <w:tcPr>
            <w:tcW w:w="4111" w:type="dxa"/>
          </w:tcPr>
          <w:p w:rsidR="00FE210C" w:rsidRPr="00FE210C" w:rsidRDefault="00761C00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761C00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Krajowa Strategia Rozwoju Regionalnego 2030 </w:t>
            </w:r>
            <w:r w:rsidR="00FD252C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– </w:t>
            </w:r>
            <w:r w:rsidRPr="00761C00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definiując miasta i ich obszary fun</w:t>
            </w:r>
            <w:r w:rsidRPr="00761C00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</w:t>
            </w:r>
            <w:r w:rsidRPr="00761C00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cjonalne</w:t>
            </w:r>
            <w:r w:rsidR="00FD252C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–</w:t>
            </w:r>
            <w:r w:rsidRPr="00761C00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wprowadza pojęcie miast o</w:t>
            </w:r>
            <w:r w:rsidR="0094564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761C00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charakterze subregionalnym, tracących swoje funkcje społeczno-gospodarcze, które pasuje do obecnej sytuacji Tomaszowa Mazowieckiego</w:t>
            </w:r>
          </w:p>
        </w:tc>
        <w:tc>
          <w:tcPr>
            <w:tcW w:w="2409" w:type="dxa"/>
          </w:tcPr>
          <w:p w:rsidR="00EC655A" w:rsidRDefault="00B25037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1</w:t>
            </w:r>
            <w:r w:rsid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, pkt 1.5,</w:t>
            </w:r>
          </w:p>
          <w:p w:rsidR="00FE210C" w:rsidRPr="00FE210C" w:rsidRDefault="00761C00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str. 13</w:t>
            </w:r>
          </w:p>
        </w:tc>
        <w:tc>
          <w:tcPr>
            <w:tcW w:w="2659" w:type="dxa"/>
          </w:tcPr>
          <w:p w:rsidR="00FE210C" w:rsidRPr="00FD252C" w:rsidRDefault="00B25037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Uwagę uwzględniono</w:t>
            </w:r>
          </w:p>
        </w:tc>
      </w:tr>
      <w:tr w:rsidR="00733EA8" w:rsidTr="00FD252C">
        <w:trPr>
          <w:cantSplit/>
        </w:trPr>
        <w:tc>
          <w:tcPr>
            <w:tcW w:w="704" w:type="dxa"/>
          </w:tcPr>
          <w:p w:rsidR="00FE210C" w:rsidRPr="00FE210C" w:rsidRDefault="00B25037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4111" w:type="dxa"/>
          </w:tcPr>
          <w:p w:rsidR="00FE210C" w:rsidRPr="00FE210C" w:rsidRDefault="00B25037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Wprowadzenie zapisu:</w:t>
            </w:r>
            <w:r w:rsidRPr="00B25037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„Tomaszów Maz</w:t>
            </w:r>
            <w:r w:rsidRPr="00B25037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</w:t>
            </w:r>
            <w:r w:rsidRPr="00B25037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wiecki posiada elementy infrastruktury do</w:t>
            </w:r>
            <w:r w:rsidR="00FD252C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B25037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zarz</w:t>
            </w:r>
            <w:r w:rsidR="0094564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ą</w:t>
            </w:r>
            <w:r w:rsidRPr="00B25037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dzania ruchem pojazdów w mieście – elementy systemu ITS zostały wprow</w:t>
            </w:r>
            <w:r w:rsidRPr="00B25037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</w:t>
            </w:r>
            <w:r w:rsidRPr="00B25037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dzone w ramach projektu wymiany taboru MZK”</w:t>
            </w:r>
          </w:p>
        </w:tc>
        <w:tc>
          <w:tcPr>
            <w:tcW w:w="4111" w:type="dxa"/>
          </w:tcPr>
          <w:p w:rsidR="00FE210C" w:rsidRPr="00FE210C" w:rsidRDefault="00B25037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Elementem projektu wymiany taboru </w:t>
            </w:r>
            <w:r w:rsidR="00F87CA2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MZK </w:t>
            </w:r>
            <w:r w:rsidR="00F87CA2" w:rsidRPr="00F87CA2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było m.in. uruchomienie Systemu Inform</w:t>
            </w:r>
            <w:r w:rsidR="00F87CA2" w:rsidRPr="00F87CA2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</w:t>
            </w:r>
            <w:r w:rsidR="00F87CA2" w:rsidRPr="00F87CA2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cji Pasażerskiej</w:t>
            </w:r>
          </w:p>
        </w:tc>
        <w:tc>
          <w:tcPr>
            <w:tcW w:w="2409" w:type="dxa"/>
          </w:tcPr>
          <w:p w:rsidR="00FE210C" w:rsidRPr="00FE210C" w:rsidRDefault="00B25037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1, pkt 1.5</w:t>
            </w:r>
            <w:r w:rsid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,</w:t>
            </w:r>
            <w:r w:rsid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br/>
            </w:r>
            <w:r w:rsidR="00F87CA2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str. 15</w:t>
            </w:r>
          </w:p>
        </w:tc>
        <w:tc>
          <w:tcPr>
            <w:tcW w:w="2659" w:type="dxa"/>
          </w:tcPr>
          <w:p w:rsidR="00FE210C" w:rsidRPr="00FD252C" w:rsidRDefault="00F87CA2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</w:t>
            </w:r>
            <w:r w:rsid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i 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nie</w:t>
            </w:r>
            <w:r w:rsid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 uwzględniono 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– System Informacji Pasaże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r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skiej MZK nie jest eleme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n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tem zarządzania ruchem pojazdów w</w:t>
            </w:r>
            <w:r w:rsidR="0094564A"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 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mieście</w:t>
            </w:r>
          </w:p>
        </w:tc>
      </w:tr>
      <w:tr w:rsidR="00F87CA2" w:rsidTr="00FD252C">
        <w:trPr>
          <w:cantSplit/>
        </w:trPr>
        <w:tc>
          <w:tcPr>
            <w:tcW w:w="704" w:type="dxa"/>
          </w:tcPr>
          <w:p w:rsidR="00F87CA2" w:rsidRDefault="00F87CA2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lastRenderedPageBreak/>
              <w:t>1.4</w:t>
            </w:r>
          </w:p>
        </w:tc>
        <w:tc>
          <w:tcPr>
            <w:tcW w:w="4111" w:type="dxa"/>
          </w:tcPr>
          <w:p w:rsidR="00F87CA2" w:rsidRDefault="00F87CA2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Uzupełnienie zapisu o dworcu kolejowym o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sąsiedztwo dworca PKS i stanowisk o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jazdowych</w:t>
            </w:r>
          </w:p>
        </w:tc>
        <w:tc>
          <w:tcPr>
            <w:tcW w:w="4111" w:type="dxa"/>
          </w:tcPr>
          <w:p w:rsidR="00F87CA2" w:rsidRDefault="00F87CA2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Brak informacji o lokalizacji dworca PKS</w:t>
            </w:r>
          </w:p>
        </w:tc>
        <w:tc>
          <w:tcPr>
            <w:tcW w:w="2409" w:type="dxa"/>
          </w:tcPr>
          <w:p w:rsidR="00F87CA2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1, pkt 1.1,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br/>
            </w:r>
            <w:r w:rsidR="00F87CA2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str. 15</w:t>
            </w:r>
          </w:p>
        </w:tc>
        <w:tc>
          <w:tcPr>
            <w:tcW w:w="2659" w:type="dxa"/>
          </w:tcPr>
          <w:p w:rsidR="00F87CA2" w:rsidRPr="00FD252C" w:rsidRDefault="00C7627F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Uwagę uwzględniono</w:t>
            </w:r>
          </w:p>
        </w:tc>
      </w:tr>
      <w:tr w:rsidR="00C7627F" w:rsidTr="00FD252C">
        <w:trPr>
          <w:cantSplit/>
        </w:trPr>
        <w:tc>
          <w:tcPr>
            <w:tcW w:w="704" w:type="dxa"/>
          </w:tcPr>
          <w:p w:rsidR="00C7627F" w:rsidRDefault="00C7627F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1.5</w:t>
            </w:r>
          </w:p>
        </w:tc>
        <w:tc>
          <w:tcPr>
            <w:tcW w:w="4111" w:type="dxa"/>
          </w:tcPr>
          <w:p w:rsidR="00C7627F" w:rsidRDefault="00C7627F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Wykreślenie zapisu o pozytywnym zjawisku malejącej liczb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y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bezrobotnych, 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świadcz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ą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cym o dobrze funkcjonującym i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rozwijającym się rynku pracy</w:t>
            </w:r>
          </w:p>
        </w:tc>
        <w:tc>
          <w:tcPr>
            <w:tcW w:w="4111" w:type="dxa"/>
          </w:tcPr>
          <w:p w:rsidR="00C7627F" w:rsidRDefault="00C7627F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przywoływanej wcześniej strategii rozw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ju obszaru funkcjonalnego oraz stanowi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ą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cym załącznik do niego raporcie z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rynku pracy, znajduj</w:t>
            </w:r>
            <w:r w:rsidR="00FD252C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ą się 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zapisy o m.in.: ujemnym saldzie dojazdów do pracy, informacji od</w:t>
            </w:r>
            <w:r w:rsidR="00FD252C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przedsiębiorców iż w ciągu ostatniego roku ich firma nie zatrudniła nowych pr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cowników i nie podejmie nowych zatru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nie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ń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, małych umiejętnościach praktycznych kandydatów, względnie wysokim bezrob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ci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u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w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porównaniu do Polski, czy opinie s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mych bezrobotnych iż mimo trudnej sytuacji na rynku pracy wiele osób nie podejmuje żadnych kroków, żeby tę sytuację zmienić itp.</w:t>
            </w:r>
          </w:p>
        </w:tc>
        <w:tc>
          <w:tcPr>
            <w:tcW w:w="2409" w:type="dxa"/>
          </w:tcPr>
          <w:p w:rsidR="00C7627F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1, pkt 1.6,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br/>
            </w:r>
            <w:r w:rsid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str. 23</w:t>
            </w:r>
          </w:p>
        </w:tc>
        <w:tc>
          <w:tcPr>
            <w:tcW w:w="2659" w:type="dxa"/>
          </w:tcPr>
          <w:p w:rsidR="00C7627F" w:rsidRPr="00FD252C" w:rsidRDefault="00C7627F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</w:t>
            </w:r>
            <w:r w:rsid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ę częściowo uwzglę</w:t>
            </w:r>
            <w:r w:rsid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d</w:t>
            </w:r>
            <w:r w:rsid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niono 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– zmniejszanie się liczby bezrobotnych jest zjawiskiem pozytywnym, świadczącym o</w:t>
            </w:r>
            <w:r w:rsidR="009D7675"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 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rozwijającym się rynku pracy. Skreślono natomiast zapis:</w:t>
            </w:r>
            <w:r w:rsidR="009D7675"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 „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dobrze funkcjonuj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ą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cym”</w:t>
            </w:r>
          </w:p>
        </w:tc>
      </w:tr>
      <w:tr w:rsidR="00C7627F" w:rsidTr="00FD252C">
        <w:trPr>
          <w:cantSplit/>
        </w:trPr>
        <w:tc>
          <w:tcPr>
            <w:tcW w:w="704" w:type="dxa"/>
          </w:tcPr>
          <w:p w:rsidR="00C7627F" w:rsidRDefault="00C7627F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bez nr</w:t>
            </w:r>
          </w:p>
        </w:tc>
        <w:tc>
          <w:tcPr>
            <w:tcW w:w="4111" w:type="dxa"/>
          </w:tcPr>
          <w:p w:rsidR="00C7627F" w:rsidRDefault="00C7627F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Wprowadzenie zmiany jak w uwadze 1.3</w:t>
            </w:r>
          </w:p>
        </w:tc>
        <w:tc>
          <w:tcPr>
            <w:tcW w:w="4111" w:type="dxa"/>
          </w:tcPr>
          <w:p w:rsidR="00C7627F" w:rsidRDefault="00C7627F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Brak dodatkowego uzasadnieni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409" w:type="dxa"/>
          </w:tcPr>
          <w:p w:rsidR="00C7627F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1, pkt 1.6,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br/>
            </w:r>
            <w:r w:rsid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str. 23</w:t>
            </w:r>
          </w:p>
        </w:tc>
        <w:tc>
          <w:tcPr>
            <w:tcW w:w="2659" w:type="dxa"/>
          </w:tcPr>
          <w:p w:rsidR="00C7627F" w:rsidRPr="00FD252C" w:rsidRDefault="00C7627F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</w:t>
            </w:r>
            <w:r w:rsid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ę częściowo uwzglę</w:t>
            </w:r>
            <w:r w:rsid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d</w:t>
            </w:r>
            <w:r w:rsid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niono 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– jw.</w:t>
            </w:r>
          </w:p>
        </w:tc>
      </w:tr>
      <w:tr w:rsidR="00C7627F" w:rsidTr="00FD252C">
        <w:trPr>
          <w:cantSplit/>
        </w:trPr>
        <w:tc>
          <w:tcPr>
            <w:tcW w:w="704" w:type="dxa"/>
          </w:tcPr>
          <w:p w:rsidR="00C7627F" w:rsidRDefault="00C7627F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1.6</w:t>
            </w:r>
          </w:p>
        </w:tc>
        <w:tc>
          <w:tcPr>
            <w:tcW w:w="4111" w:type="dxa"/>
          </w:tcPr>
          <w:p w:rsidR="00C7627F" w:rsidRDefault="00C7627F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Uzupełnienie informacji o systemie ARLY</w:t>
            </w:r>
          </w:p>
        </w:tc>
        <w:tc>
          <w:tcPr>
            <w:tcW w:w="4111" w:type="dxa"/>
          </w:tcPr>
          <w:p w:rsidR="00C7627F" w:rsidRDefault="00C7627F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2017 r. na terenie miasta zainstalowano 44 czujniki pomiaru jakości powietrza, kt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ó</w:t>
            </w:r>
            <w:r w:rsidRPr="00C7627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rych operatorem jest ZGC Sp. z o.o.</w:t>
            </w:r>
          </w:p>
        </w:tc>
        <w:tc>
          <w:tcPr>
            <w:tcW w:w="2409" w:type="dxa"/>
          </w:tcPr>
          <w:p w:rsidR="00C7627F" w:rsidRDefault="00C7627F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2</w:t>
            </w:r>
          </w:p>
        </w:tc>
        <w:tc>
          <w:tcPr>
            <w:tcW w:w="2659" w:type="dxa"/>
          </w:tcPr>
          <w:p w:rsidR="00C7627F" w:rsidRPr="00FD252C" w:rsidRDefault="003C13AE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Uwagę uwzględniono</w:t>
            </w:r>
          </w:p>
        </w:tc>
      </w:tr>
      <w:tr w:rsidR="00733EA8" w:rsidTr="00FD252C">
        <w:trPr>
          <w:cantSplit/>
        </w:trPr>
        <w:tc>
          <w:tcPr>
            <w:tcW w:w="704" w:type="dxa"/>
          </w:tcPr>
          <w:p w:rsidR="00FE210C" w:rsidRPr="00FE210C" w:rsidRDefault="00C33FAA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1.7</w:t>
            </w:r>
          </w:p>
        </w:tc>
        <w:tc>
          <w:tcPr>
            <w:tcW w:w="4111" w:type="dxa"/>
          </w:tcPr>
          <w:p w:rsidR="00FE210C" w:rsidRPr="00FE210C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Zmiana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zapisu dotyczącego braku parki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gów typu Bike&amp;Ride</w:t>
            </w:r>
          </w:p>
        </w:tc>
        <w:tc>
          <w:tcPr>
            <w:tcW w:w="4111" w:type="dxa"/>
          </w:tcPr>
          <w:p w:rsidR="00FE210C" w:rsidRPr="00FE210C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ramach wcześniejszej analizy wskazano lokalizację 5 takich parkingów w miejscach, które mogą służyć jako punkty przesiadk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we, m.in. dworzec PKP czy pętle krańcowe</w:t>
            </w:r>
          </w:p>
        </w:tc>
        <w:tc>
          <w:tcPr>
            <w:tcW w:w="2409" w:type="dxa"/>
          </w:tcPr>
          <w:p w:rsidR="00FE210C" w:rsidRPr="00FE210C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3, pkt 3.5,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br/>
            </w:r>
            <w:r w:rsid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str. 62</w:t>
            </w:r>
          </w:p>
        </w:tc>
        <w:tc>
          <w:tcPr>
            <w:tcW w:w="2659" w:type="dxa"/>
          </w:tcPr>
          <w:p w:rsidR="00FE210C" w:rsidRPr="00FD252C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Uwagę uwzględniono</w:t>
            </w:r>
          </w:p>
        </w:tc>
      </w:tr>
      <w:tr w:rsidR="00007082" w:rsidTr="00FD252C">
        <w:trPr>
          <w:cantSplit/>
        </w:trPr>
        <w:tc>
          <w:tcPr>
            <w:tcW w:w="704" w:type="dxa"/>
          </w:tcPr>
          <w:p w:rsidR="00007082" w:rsidRDefault="00007082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lastRenderedPageBreak/>
              <w:t>1.8</w:t>
            </w:r>
          </w:p>
        </w:tc>
        <w:tc>
          <w:tcPr>
            <w:tcW w:w="4111" w:type="dxa"/>
          </w:tcPr>
          <w:p w:rsidR="00007082" w:rsidRDefault="00007082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Zmiana zapisu o zauważalnym problemie braku stałego monitoringu zanieczyszczenia powietrza poprzez uwzględnienie systemu AIRLY</w:t>
            </w:r>
          </w:p>
        </w:tc>
        <w:tc>
          <w:tcPr>
            <w:tcW w:w="4111" w:type="dxa"/>
          </w:tcPr>
          <w:p w:rsidR="00007082" w:rsidRDefault="00857E0D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Jak do punktu 1.6</w:t>
            </w:r>
          </w:p>
        </w:tc>
        <w:tc>
          <w:tcPr>
            <w:tcW w:w="2409" w:type="dxa"/>
          </w:tcPr>
          <w:p w:rsidR="00007082" w:rsidRDefault="00007082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3, pkt 3.6,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br/>
              <w:t>str. 71</w:t>
            </w:r>
          </w:p>
        </w:tc>
        <w:tc>
          <w:tcPr>
            <w:tcW w:w="2659" w:type="dxa"/>
          </w:tcPr>
          <w:p w:rsidR="00007082" w:rsidRPr="00FD252C" w:rsidRDefault="00857E0D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Uwagę uwzględniono</w:t>
            </w:r>
          </w:p>
        </w:tc>
      </w:tr>
      <w:tr w:rsidR="00C33FAA" w:rsidTr="00FD252C">
        <w:trPr>
          <w:cantSplit/>
        </w:trPr>
        <w:tc>
          <w:tcPr>
            <w:tcW w:w="704" w:type="dxa"/>
          </w:tcPr>
          <w:p w:rsidR="00C33FAA" w:rsidRDefault="00007082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1.9</w:t>
            </w:r>
          </w:p>
        </w:tc>
        <w:tc>
          <w:tcPr>
            <w:tcW w:w="4111" w:type="dxa"/>
          </w:tcPr>
          <w:p w:rsidR="00C33FAA" w:rsidRPr="00FE210C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Zmiana z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apisu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 niskiej partycypacji sp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łecznej 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i uwzględnienie konsultacji społec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nych, które odbywają się w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Tomaszowie Mazowieckim</w:t>
            </w:r>
          </w:p>
        </w:tc>
        <w:tc>
          <w:tcPr>
            <w:tcW w:w="4111" w:type="dxa"/>
          </w:tcPr>
          <w:p w:rsidR="00C33FAA" w:rsidRPr="00FE210C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becny zapis sugeruje, że problemem jest niski poziom partycypacji społecznej, po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czas gdy w ogłaszanych konsultacjach, np. budżetu obywatelskiego oddawane są setki i tysiące głosów, odbywały się także konsu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l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tacje dotyczące m.in. usytuowania prz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y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stanków dla systemu roweru miejskiego –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w opinii wnioskującego 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problemem jest forma konsultacji i sposób docierania do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zainteresowanych danym problemem</w:t>
            </w:r>
          </w:p>
        </w:tc>
        <w:tc>
          <w:tcPr>
            <w:tcW w:w="2409" w:type="dxa"/>
          </w:tcPr>
          <w:p w:rsidR="00C33FAA" w:rsidRPr="00FE210C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</w:t>
            </w:r>
            <w:r w:rsid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ozdział 3, pkt 3.6,</w:t>
            </w:r>
            <w:r w:rsid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br/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str. 71</w:t>
            </w:r>
          </w:p>
        </w:tc>
        <w:tc>
          <w:tcPr>
            <w:tcW w:w="2659" w:type="dxa"/>
          </w:tcPr>
          <w:p w:rsidR="00C33FAA" w:rsidRPr="00FD252C" w:rsidRDefault="00857E0D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Uwagę uwzględniono</w:t>
            </w:r>
          </w:p>
        </w:tc>
      </w:tr>
      <w:tr w:rsidR="00733EA8" w:rsidTr="00FD252C">
        <w:trPr>
          <w:cantSplit/>
        </w:trPr>
        <w:tc>
          <w:tcPr>
            <w:tcW w:w="704" w:type="dxa"/>
          </w:tcPr>
          <w:p w:rsidR="00733EA8" w:rsidRDefault="00007082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1.10</w:t>
            </w:r>
          </w:p>
        </w:tc>
        <w:tc>
          <w:tcPr>
            <w:tcW w:w="4111" w:type="dxa"/>
          </w:tcPr>
          <w:p w:rsidR="00733EA8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Wykreślenie zapisu</w:t>
            </w:r>
            <w:r w:rsidR="0022308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: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„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Niedostateczna wiedza mieszkańców o występujących zanieczys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czeniach powietrza i wpływie elektromobi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l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ności na zmniejszanie ich poziomu w mi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e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ście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4111" w:type="dxa"/>
          </w:tcPr>
          <w:p w:rsidR="00733EA8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e wcześniejszych analizach przytoczonych w dokumencie, nie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ma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informacji potwie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</w:t>
            </w:r>
            <w:r w:rsidRPr="00733EA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dzających taki wniosek</w:t>
            </w:r>
          </w:p>
        </w:tc>
        <w:tc>
          <w:tcPr>
            <w:tcW w:w="2409" w:type="dxa"/>
          </w:tcPr>
          <w:p w:rsidR="00733EA8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3, pkt 5, str. 84</w:t>
            </w:r>
          </w:p>
        </w:tc>
        <w:tc>
          <w:tcPr>
            <w:tcW w:w="2659" w:type="dxa"/>
          </w:tcPr>
          <w:p w:rsidR="00733EA8" w:rsidRPr="00FD252C" w:rsidRDefault="00857E0D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highlight w:val="yellow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Uwagę uwzględniono</w:t>
            </w:r>
          </w:p>
        </w:tc>
      </w:tr>
      <w:tr w:rsidR="00733EA8" w:rsidTr="00FD252C">
        <w:trPr>
          <w:cantSplit/>
        </w:trPr>
        <w:tc>
          <w:tcPr>
            <w:tcW w:w="704" w:type="dxa"/>
          </w:tcPr>
          <w:p w:rsidR="00733EA8" w:rsidRDefault="00007082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1.11</w:t>
            </w:r>
          </w:p>
        </w:tc>
        <w:tc>
          <w:tcPr>
            <w:tcW w:w="4111" w:type="dxa"/>
          </w:tcPr>
          <w:p w:rsidR="00733EA8" w:rsidRDefault="003C13AE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Zmiana jak w uwadze 1.1</w:t>
            </w:r>
          </w:p>
        </w:tc>
        <w:tc>
          <w:tcPr>
            <w:tcW w:w="4111" w:type="dxa"/>
          </w:tcPr>
          <w:p w:rsidR="00733EA8" w:rsidRDefault="003C13AE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Jak w uwadze 1.1</w:t>
            </w:r>
          </w:p>
        </w:tc>
        <w:tc>
          <w:tcPr>
            <w:tcW w:w="2409" w:type="dxa"/>
          </w:tcPr>
          <w:p w:rsidR="00733EA8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5, pkt 5.2, str. 86</w:t>
            </w:r>
          </w:p>
        </w:tc>
        <w:tc>
          <w:tcPr>
            <w:tcW w:w="2659" w:type="dxa"/>
          </w:tcPr>
          <w:p w:rsidR="00733EA8" w:rsidRPr="00FD252C" w:rsidRDefault="00E8601C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highlight w:val="yellow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Uwagę uwzględniono</w:t>
            </w:r>
          </w:p>
        </w:tc>
      </w:tr>
      <w:tr w:rsidR="00733EA8" w:rsidTr="00FD252C">
        <w:trPr>
          <w:cantSplit/>
        </w:trPr>
        <w:tc>
          <w:tcPr>
            <w:tcW w:w="704" w:type="dxa"/>
          </w:tcPr>
          <w:p w:rsidR="00733EA8" w:rsidRDefault="00EC655A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1.12</w:t>
            </w:r>
          </w:p>
        </w:tc>
        <w:tc>
          <w:tcPr>
            <w:tcW w:w="4111" w:type="dxa"/>
          </w:tcPr>
          <w:p w:rsidR="00733EA8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Zmiana zapisu poprzez dodanie zwrotu: „lobbowanie na rzecz uruchomienia…”</w:t>
            </w:r>
          </w:p>
        </w:tc>
        <w:tc>
          <w:tcPr>
            <w:tcW w:w="4111" w:type="dxa"/>
          </w:tcPr>
          <w:p w:rsidR="00733EA8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Z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przytoczonych analiz wynika, że samo Miasto nie ma możliwości wybudowania takich stacji – musi zrobić to w partnerstwie z</w:t>
            </w:r>
            <w:r w:rsidR="0022308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PGE Dystrybucja, które będzie miało d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e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cydujący wpływ na czas realizacji zadania</w:t>
            </w:r>
          </w:p>
        </w:tc>
        <w:tc>
          <w:tcPr>
            <w:tcW w:w="2409" w:type="dxa"/>
          </w:tcPr>
          <w:p w:rsidR="00733EA8" w:rsidRDefault="00733EA8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6, pkt 6.1.6</w:t>
            </w:r>
            <w:r w:rsid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, str. 133</w:t>
            </w:r>
          </w:p>
        </w:tc>
        <w:tc>
          <w:tcPr>
            <w:tcW w:w="2659" w:type="dxa"/>
          </w:tcPr>
          <w:p w:rsidR="00733EA8" w:rsidRPr="00FD252C" w:rsidRDefault="003C13AE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highlight w:val="yellow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</w:t>
            </w:r>
            <w:r w:rsidR="0022308E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i nie uwzględniono 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– Miasto </w:t>
            </w:r>
            <w:r w:rsidR="000F57D5"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wskazuje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 PGE Dy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s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trybucja SA</w:t>
            </w:r>
            <w:r w:rsidR="000F57D5"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 stanowiska parkingowe dla utworzenia takich punktów</w:t>
            </w:r>
          </w:p>
        </w:tc>
      </w:tr>
      <w:tr w:rsidR="00EC655A" w:rsidTr="00FD252C">
        <w:trPr>
          <w:cantSplit/>
        </w:trPr>
        <w:tc>
          <w:tcPr>
            <w:tcW w:w="704" w:type="dxa"/>
          </w:tcPr>
          <w:p w:rsidR="00EC655A" w:rsidRDefault="00EC655A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lastRenderedPageBreak/>
              <w:t>1.13</w:t>
            </w:r>
          </w:p>
        </w:tc>
        <w:tc>
          <w:tcPr>
            <w:tcW w:w="4111" w:type="dxa"/>
          </w:tcPr>
          <w:p w:rsidR="00EC655A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Uzupełnienie zapisu o planowany przebieg wschodniej obwodnicy miasta</w:t>
            </w:r>
          </w:p>
        </w:tc>
        <w:tc>
          <w:tcPr>
            <w:tcW w:w="4111" w:type="dxa"/>
          </w:tcPr>
          <w:p w:rsidR="00EC655A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2019 </w:t>
            </w:r>
            <w:r w:rsidR="0022308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r. 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przeprowadzone zostały konsu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l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tacje, mające na celu wypracowanie ko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cepcji obwodnicy miasta; z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przedstawionych w ich trakcie informacji wynika, że Urząd Miasta forsuje inny przebieg obwodnicy, tzw. północny w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śladzie zbliżonym do pl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nowanej drogi S74, który jest źródłem ko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fliktu z</w:t>
            </w:r>
            <w:r w:rsidR="009D767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 </w:t>
            </w:r>
            <w:r w:rsidRPr="00EC655A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mieszkańcami</w:t>
            </w:r>
          </w:p>
        </w:tc>
        <w:tc>
          <w:tcPr>
            <w:tcW w:w="2409" w:type="dxa"/>
          </w:tcPr>
          <w:p w:rsidR="00EC655A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Rozdział 6, pkt 6.1.6,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br/>
              <w:t>str. 134</w:t>
            </w:r>
          </w:p>
        </w:tc>
        <w:tc>
          <w:tcPr>
            <w:tcW w:w="2659" w:type="dxa"/>
          </w:tcPr>
          <w:p w:rsidR="00EC655A" w:rsidRPr="00FD252C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</w:t>
            </w:r>
            <w:r w:rsidR="0022308E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i nie uwzględniono 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Strategia </w:t>
            </w:r>
            <w:r w:rsidR="0022308E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Rozwoju 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Elektr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o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mobilności nie jest dok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mentem </w:t>
            </w:r>
            <w:r w:rsidR="0022308E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właściwym 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do rozstrzygania </w:t>
            </w:r>
            <w:r w:rsidR="0022308E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 xml:space="preserve">kwestii 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prz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e</w:t>
            </w: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biegu dróg</w:t>
            </w:r>
          </w:p>
        </w:tc>
      </w:tr>
      <w:tr w:rsidR="00EC655A" w:rsidTr="00FD252C">
        <w:trPr>
          <w:cantSplit/>
        </w:trPr>
        <w:tc>
          <w:tcPr>
            <w:tcW w:w="704" w:type="dxa"/>
          </w:tcPr>
          <w:p w:rsidR="00EC655A" w:rsidRDefault="00EC655A" w:rsidP="00FD252C">
            <w:pPr>
              <w:spacing w:before="60" w:after="20" w:line="264" w:lineRule="auto"/>
              <w:ind w:left="0" w:firstLine="0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1.14</w:t>
            </w:r>
          </w:p>
        </w:tc>
        <w:tc>
          <w:tcPr>
            <w:tcW w:w="4111" w:type="dxa"/>
          </w:tcPr>
          <w:p w:rsidR="00EC655A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Uzupełnienie monitoringu wdrażania Str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tegii o zasady jej ewaluacji </w:t>
            </w:r>
          </w:p>
        </w:tc>
        <w:tc>
          <w:tcPr>
            <w:tcW w:w="4111" w:type="dxa"/>
          </w:tcPr>
          <w:p w:rsidR="00EC655A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</w:tcPr>
          <w:p w:rsidR="00EC655A" w:rsidRDefault="00EC655A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Rozdział 6, pkt 6.6,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br/>
              <w:t xml:space="preserve">str. </w:t>
            </w:r>
            <w:r w:rsidR="00007082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2659" w:type="dxa"/>
          </w:tcPr>
          <w:p w:rsidR="00EC655A" w:rsidRPr="00FD252C" w:rsidRDefault="00383A6B" w:rsidP="00FD252C">
            <w:pPr>
              <w:spacing w:before="60" w:after="20" w:line="264" w:lineRule="auto"/>
              <w:ind w:left="0" w:firstLine="0"/>
              <w:jc w:val="left"/>
              <w:rPr>
                <w:rFonts w:ascii="Tahoma" w:eastAsia="Times New Roman" w:hAnsi="Tahoma" w:cs="Tahoma"/>
                <w:iCs/>
                <w:sz w:val="20"/>
                <w:szCs w:val="20"/>
                <w:highlight w:val="yellow"/>
                <w:lang w:eastAsia="pl-PL"/>
              </w:rPr>
            </w:pPr>
            <w:r w:rsidRPr="00FD252C">
              <w:rPr>
                <w:rFonts w:ascii="Tahoma" w:eastAsia="Times New Roman" w:hAnsi="Tahoma" w:cs="Tahoma"/>
                <w:iCs/>
                <w:sz w:val="20"/>
                <w:szCs w:val="20"/>
                <w:lang w:eastAsia="pl-PL"/>
              </w:rPr>
              <w:t>Uwagę uwzględniono</w:t>
            </w:r>
          </w:p>
        </w:tc>
      </w:tr>
    </w:tbl>
    <w:p w:rsidR="00173252" w:rsidRPr="00173252" w:rsidRDefault="00173252" w:rsidP="00173252">
      <w:pPr>
        <w:spacing w:line="360" w:lineRule="auto"/>
        <w:ind w:left="0" w:firstLine="567"/>
        <w:rPr>
          <w:rFonts w:ascii="Tahoma" w:eastAsia="Times New Roman" w:hAnsi="Tahoma" w:cs="Tahoma"/>
          <w:lang w:eastAsia="pl-PL"/>
        </w:rPr>
      </w:pPr>
    </w:p>
    <w:p w:rsidR="00173252" w:rsidRPr="00173252" w:rsidRDefault="00173252" w:rsidP="00173252">
      <w:pPr>
        <w:spacing w:line="360" w:lineRule="auto"/>
        <w:ind w:left="0" w:firstLine="567"/>
        <w:rPr>
          <w:rFonts w:ascii="Tahoma" w:eastAsia="Times New Roman" w:hAnsi="Tahoma" w:cs="Tahoma"/>
          <w:lang w:eastAsia="pl-PL"/>
        </w:rPr>
      </w:pPr>
    </w:p>
    <w:sectPr w:rsidR="00173252" w:rsidRPr="00173252" w:rsidSect="006976AB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558" w:rsidRDefault="00AC1558" w:rsidP="0022308E">
      <w:r>
        <w:separator/>
      </w:r>
    </w:p>
  </w:endnote>
  <w:endnote w:type="continuationSeparator" w:id="0">
    <w:p w:rsidR="00AC1558" w:rsidRDefault="00AC1558" w:rsidP="002230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2486112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22308E" w:rsidRPr="0022308E" w:rsidRDefault="00C47155" w:rsidP="0022308E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22308E">
          <w:rPr>
            <w:rFonts w:ascii="Tahoma" w:hAnsi="Tahoma" w:cs="Tahoma"/>
            <w:sz w:val="18"/>
            <w:szCs w:val="18"/>
          </w:rPr>
          <w:fldChar w:fldCharType="begin"/>
        </w:r>
        <w:r w:rsidR="0022308E" w:rsidRPr="0022308E">
          <w:rPr>
            <w:rFonts w:ascii="Tahoma" w:hAnsi="Tahoma" w:cs="Tahoma"/>
            <w:sz w:val="18"/>
            <w:szCs w:val="18"/>
          </w:rPr>
          <w:instrText>PAGE   \* MERGEFORMAT</w:instrText>
        </w:r>
        <w:r w:rsidRPr="0022308E">
          <w:rPr>
            <w:rFonts w:ascii="Tahoma" w:hAnsi="Tahoma" w:cs="Tahoma"/>
            <w:sz w:val="18"/>
            <w:szCs w:val="18"/>
          </w:rPr>
          <w:fldChar w:fldCharType="separate"/>
        </w:r>
        <w:r w:rsidR="006D451A">
          <w:rPr>
            <w:rFonts w:ascii="Tahoma" w:hAnsi="Tahoma" w:cs="Tahoma"/>
            <w:noProof/>
            <w:sz w:val="18"/>
            <w:szCs w:val="18"/>
          </w:rPr>
          <w:t>4</w:t>
        </w:r>
        <w:r w:rsidRPr="0022308E">
          <w:rPr>
            <w:rFonts w:ascii="Tahoma" w:hAnsi="Tahoma" w:cs="Tahoma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558" w:rsidRDefault="00AC1558" w:rsidP="0022308E">
      <w:r>
        <w:separator/>
      </w:r>
    </w:p>
  </w:footnote>
  <w:footnote w:type="continuationSeparator" w:id="0">
    <w:p w:rsidR="00AC1558" w:rsidRDefault="00AC1558" w:rsidP="002230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7017"/>
    <w:multiLevelType w:val="hybridMultilevel"/>
    <w:tmpl w:val="E0FE35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817039"/>
    <w:multiLevelType w:val="hybridMultilevel"/>
    <w:tmpl w:val="A12C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AC7377"/>
    <w:multiLevelType w:val="hybridMultilevel"/>
    <w:tmpl w:val="46BE7712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252"/>
    <w:rsid w:val="00007082"/>
    <w:rsid w:val="000A0CDE"/>
    <w:rsid w:val="000F57D5"/>
    <w:rsid w:val="00173252"/>
    <w:rsid w:val="0022308E"/>
    <w:rsid w:val="002F64F4"/>
    <w:rsid w:val="00383A6B"/>
    <w:rsid w:val="0039403D"/>
    <w:rsid w:val="003C13AE"/>
    <w:rsid w:val="00413C11"/>
    <w:rsid w:val="00676B55"/>
    <w:rsid w:val="006976AB"/>
    <w:rsid w:val="006D451A"/>
    <w:rsid w:val="00733EA8"/>
    <w:rsid w:val="00761C00"/>
    <w:rsid w:val="00857E0D"/>
    <w:rsid w:val="009160ED"/>
    <w:rsid w:val="0094564A"/>
    <w:rsid w:val="009D7675"/>
    <w:rsid w:val="00AC1558"/>
    <w:rsid w:val="00B25037"/>
    <w:rsid w:val="00C33FAA"/>
    <w:rsid w:val="00C47155"/>
    <w:rsid w:val="00C7627F"/>
    <w:rsid w:val="00E72671"/>
    <w:rsid w:val="00E8601C"/>
    <w:rsid w:val="00EC655A"/>
    <w:rsid w:val="00F4577F"/>
    <w:rsid w:val="00F87CA2"/>
    <w:rsid w:val="00FA4CC3"/>
    <w:rsid w:val="00FD252C"/>
    <w:rsid w:val="00FE2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7155"/>
    <w:pPr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E210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7267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230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308E"/>
  </w:style>
  <w:style w:type="paragraph" w:styleId="Stopka">
    <w:name w:val="footer"/>
    <w:basedOn w:val="Normalny"/>
    <w:link w:val="StopkaZnak"/>
    <w:uiPriority w:val="99"/>
    <w:unhideWhenUsed/>
    <w:rsid w:val="002230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30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798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prodorfin@outlook.com</dc:creator>
  <cp:lastModifiedBy>mpekala</cp:lastModifiedBy>
  <cp:revision>2</cp:revision>
  <dcterms:created xsi:type="dcterms:W3CDTF">2020-06-22T10:14:00Z</dcterms:created>
  <dcterms:modified xsi:type="dcterms:W3CDTF">2020-06-22T10:14:00Z</dcterms:modified>
</cp:coreProperties>
</file>