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enter" w:pos="1792" w:leader="none"/>
          <w:tab w:val="right" w:pos="9703" w:leader="none"/>
        </w:tabs>
        <w:spacing w:lineRule="auto" w:line="276" w:before="0" w:after="233"/>
        <w:ind w:left="0" w:hanging="0"/>
        <w:jc w:val="left"/>
        <w:rPr/>
      </w:pPr>
      <w:r>
        <w:rPr>
          <w:b/>
        </w:rPr>
        <w:t xml:space="preserve">     </w:t>
      </w:r>
      <w:r>
        <w:rPr>
          <w:b/>
        </w:rPr>
        <w:t xml:space="preserve">PREZYDENT MIASTA </w:t>
      </w:r>
    </w:p>
    <w:p>
      <w:pPr>
        <w:pStyle w:val="Normal"/>
        <w:spacing w:lineRule="auto" w:line="276" w:before="0" w:after="143"/>
        <w:ind w:left="291" w:right="50" w:hanging="10"/>
        <w:rPr>
          <w:rFonts w:ascii="Times New Roman" w:hAnsi="Times New Roman"/>
        </w:rPr>
      </w:pPr>
      <w:r>
        <w:rPr>
          <w:b/>
        </w:rPr>
        <w:t>TOMASZOWA MAZOWIECKIEGO</w:t>
      </w:r>
    </w:p>
    <w:p>
      <w:pPr>
        <w:pStyle w:val="Normal"/>
        <w:spacing w:lineRule="auto" w:line="276" w:before="0" w:after="143"/>
        <w:ind w:left="291" w:right="50" w:hanging="10"/>
        <w:rPr>
          <w:rFonts w:ascii="Times New Roman" w:hAnsi="Times New Roman"/>
          <w:b/>
          <w:b/>
        </w:rPr>
      </w:pPr>
      <w:r>
        <w:rPr>
          <w:b/>
        </w:rPr>
      </w:r>
    </w:p>
    <w:p>
      <w:pPr>
        <w:pStyle w:val="Normal"/>
        <w:spacing w:lineRule="auto" w:line="259" w:before="0" w:after="133"/>
        <w:ind w:left="768" w:right="821" w:hanging="10"/>
        <w:jc w:val="center"/>
        <w:rPr>
          <w:rFonts w:ascii="Times New Roman" w:hAnsi="Times New Roman"/>
        </w:rPr>
      </w:pPr>
      <w:r>
        <w:rPr>
          <w:b/>
          <w:sz w:val="28"/>
        </w:rPr>
        <w:t xml:space="preserve">Informacja </w:t>
      </w:r>
    </w:p>
    <w:p>
      <w:pPr>
        <w:pStyle w:val="Normal"/>
        <w:spacing w:lineRule="auto" w:line="259" w:before="0" w:after="315"/>
        <w:ind w:left="768" w:right="685" w:hanging="10"/>
        <w:jc w:val="center"/>
        <w:rPr/>
      </w:pPr>
      <w:r>
        <w:rPr>
          <w:b/>
          <w:sz w:val="28"/>
        </w:rPr>
        <w:t xml:space="preserve">O UPRAWNIENIACH WYBORCÓW NIEPEŁNOSPRAWNYCH </w:t>
        <w:br/>
        <w:t xml:space="preserve">w wyborach Prezydenta Rzeczypospolitej Polskiej </w:t>
        <w:br/>
        <w:t xml:space="preserve">zarządzonych na dzień 28 czerwca 2020 r.  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sz w:val="24"/>
          <w:szCs w:val="24"/>
        </w:rPr>
        <w:t>Prezydent Miasta Tomaszowa Mazowieckiego informuje o uprawnieniach wyborców niepełnosprawnych, przewidzianych w przepisach ustawy z dnia 5 stycznia 2011 r. - Kodeks wyborczy (Dz. U. z 2019 r. poz. 684 i 1504 oraz 2020 r. poz. 568) oraz ustawy z dnia 2 czerwca 2020 o szczególnych zasadach organizacji wyborów powszechnych na Prezydenta Rzeczypospolitej Polskiej zarządzonych w 2020 r z możliwością głosowania korespondencyjnego (Dz.U. z 2020.979)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360" w:before="0" w:after="115"/>
        <w:ind w:left="0" w:right="55" w:hanging="1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I.  Prawo do uzyskiwania informacji o wyborach</w:t>
      </w:r>
    </w:p>
    <w:p>
      <w:pPr>
        <w:pStyle w:val="Normal"/>
        <w:spacing w:lineRule="auto" w:line="360" w:before="0" w:after="115"/>
        <w:ind w:left="0" w:right="55" w:hanging="10"/>
        <w:rPr>
          <w:rFonts w:ascii="Times New Roman" w:hAnsi="Times New Roman"/>
        </w:rPr>
      </w:pPr>
      <w:r>
        <w:rPr>
          <w:b w:val="false"/>
          <w:bCs w:val="false"/>
          <w:sz w:val="24"/>
          <w:szCs w:val="24"/>
        </w:rPr>
        <w:t>Wyborca niepełnosprawny wpisany do rejestru wyborców w Gminie – Miasto Tomaszów Mazowiecki ma prawo do uzyskiwania informacji o;</w:t>
      </w:r>
    </w:p>
    <w:p>
      <w:pPr>
        <w:pStyle w:val="Normal"/>
        <w:spacing w:lineRule="auto" w:line="360" w:before="0" w:after="115"/>
        <w:ind w:left="0" w:right="55" w:hanging="10"/>
        <w:rPr>
          <w:rFonts w:ascii="Times New Roman" w:hAnsi="Times New Roman"/>
        </w:rPr>
      </w:pPr>
      <w:r>
        <w:rPr>
          <w:b/>
          <w:bCs/>
          <w:sz w:val="24"/>
          <w:szCs w:val="24"/>
        </w:rPr>
        <w:t xml:space="preserve">1) </w:t>
      </w:r>
      <w:r>
        <w:rPr>
          <w:b w:val="false"/>
          <w:bCs w:val="false"/>
          <w:sz w:val="24"/>
          <w:szCs w:val="24"/>
        </w:rPr>
        <w:t>terminie wyborów oraz godzinach głosowania;</w:t>
      </w:r>
    </w:p>
    <w:p>
      <w:pPr>
        <w:pStyle w:val="Normal"/>
        <w:spacing w:lineRule="auto" w:line="360" w:before="0" w:after="115"/>
        <w:ind w:left="0" w:right="55" w:hanging="10"/>
        <w:rPr>
          <w:rFonts w:ascii="Times New Roman" w:hAnsi="Times New Roman"/>
        </w:rPr>
      </w:pPr>
      <w:r>
        <w:rPr>
          <w:b/>
          <w:bCs/>
          <w:sz w:val="24"/>
          <w:szCs w:val="24"/>
        </w:rPr>
        <w:t>2)</w:t>
      </w:r>
      <w:r>
        <w:rPr>
          <w:b w:val="false"/>
          <w:bCs w:val="false"/>
          <w:sz w:val="24"/>
          <w:szCs w:val="24"/>
        </w:rPr>
        <w:t xml:space="preserve"> właściwym dla siebie okręgu wyborczym i obwodzie głosowania;</w:t>
      </w:r>
    </w:p>
    <w:p>
      <w:pPr>
        <w:pStyle w:val="Normal"/>
        <w:widowControl/>
        <w:suppressAutoHyphens w:val="true"/>
        <w:bidi w:val="0"/>
        <w:spacing w:lineRule="auto" w:line="360" w:before="0" w:after="115"/>
        <w:ind w:left="283" w:right="57" w:hanging="283"/>
        <w:jc w:val="both"/>
        <w:rPr>
          <w:rFonts w:ascii="Times New Roman" w:hAnsi="Times New Roman"/>
        </w:rPr>
      </w:pPr>
      <w:r>
        <w:rPr>
          <w:b/>
          <w:bCs/>
          <w:sz w:val="24"/>
          <w:szCs w:val="24"/>
        </w:rPr>
        <w:t xml:space="preserve">3) </w:t>
      </w:r>
      <w:r>
        <w:rPr>
          <w:b w:val="false"/>
          <w:bCs w:val="false"/>
          <w:sz w:val="24"/>
          <w:szCs w:val="24"/>
        </w:rPr>
        <w:t>lokalach obwodowych komisji wyborczych znajdujących się najbliżej miejsca zamieszkania wyborcy niepełnosprawnego, w tym o lokalach przystosowanych do potrzeb osób niepełnosprawnych;</w:t>
      </w:r>
    </w:p>
    <w:p>
      <w:pPr>
        <w:pStyle w:val="Normal"/>
        <w:widowControl/>
        <w:suppressAutoHyphens w:val="true"/>
        <w:bidi w:val="0"/>
        <w:spacing w:lineRule="auto" w:line="360" w:before="0" w:after="115"/>
        <w:ind w:left="283" w:right="57" w:hanging="283"/>
        <w:jc w:val="both"/>
        <w:rPr>
          <w:b/>
          <w:b/>
          <w:bCs/>
        </w:rPr>
      </w:pPr>
      <w:r>
        <w:rPr>
          <w:b/>
          <w:bCs/>
          <w:sz w:val="24"/>
          <w:szCs w:val="24"/>
        </w:rPr>
        <w:t xml:space="preserve">4) </w:t>
      </w:r>
      <w:r>
        <w:rPr>
          <w:b w:val="false"/>
          <w:bCs w:val="false"/>
          <w:sz w:val="24"/>
          <w:szCs w:val="24"/>
        </w:rPr>
        <w:t>warunkach dopisania wyborcy niepełnosprawnego do spisu wyborców w wybranym przez niego obwodzie głosowania na obszarze gminy właściwej ze względu na miejsce jego stałego zamieszkania;</w:t>
      </w:r>
    </w:p>
    <w:p>
      <w:pPr>
        <w:pStyle w:val="Normal"/>
        <w:widowControl/>
        <w:suppressAutoHyphens w:val="true"/>
        <w:bidi w:val="0"/>
        <w:spacing w:lineRule="auto" w:line="360" w:before="0" w:after="115"/>
        <w:ind w:left="283" w:right="57" w:hanging="283"/>
        <w:jc w:val="both"/>
        <w:rPr>
          <w:b/>
          <w:b/>
          <w:bCs/>
        </w:rPr>
      </w:pPr>
      <w:r>
        <w:rPr>
          <w:b/>
          <w:bCs/>
          <w:sz w:val="24"/>
          <w:szCs w:val="24"/>
        </w:rPr>
        <w:t xml:space="preserve">5) </w:t>
      </w:r>
      <w:r>
        <w:rPr>
          <w:b w:val="false"/>
          <w:bCs w:val="false"/>
          <w:sz w:val="24"/>
          <w:szCs w:val="24"/>
        </w:rPr>
        <w:t xml:space="preserve">komitetach wyborczych biorących udział w wyborach oraz zarejestrowanych kandydatach </w:t>
        <w:br/>
        <w:t>i listach kandydatów;</w:t>
      </w:r>
    </w:p>
    <w:p>
      <w:pPr>
        <w:pStyle w:val="Normal"/>
        <w:spacing w:lineRule="auto" w:line="360" w:before="0" w:after="115"/>
        <w:ind w:left="0" w:right="55" w:hanging="10"/>
        <w:rPr>
          <w:b/>
          <w:b/>
          <w:bCs/>
        </w:rPr>
      </w:pPr>
      <w:r>
        <w:rPr>
          <w:b/>
          <w:bCs/>
          <w:sz w:val="24"/>
          <w:szCs w:val="24"/>
        </w:rPr>
        <w:t>6)</w:t>
      </w:r>
      <w:r>
        <w:rPr>
          <w:b w:val="false"/>
          <w:bCs w:val="false"/>
          <w:sz w:val="24"/>
          <w:szCs w:val="24"/>
        </w:rPr>
        <w:t xml:space="preserve"> warunkach oraz formach głosowania;</w:t>
      </w:r>
    </w:p>
    <w:p>
      <w:pPr>
        <w:pStyle w:val="Normal"/>
        <w:spacing w:lineRule="auto" w:line="360" w:before="0" w:after="115"/>
        <w:ind w:left="0" w:right="55" w:hanging="10"/>
        <w:rPr>
          <w:b/>
          <w:b/>
          <w:bCs/>
        </w:rPr>
      </w:pPr>
      <w:r>
        <w:rPr>
          <w:b w:val="false"/>
          <w:bCs w:val="false"/>
          <w:sz w:val="24"/>
          <w:szCs w:val="24"/>
        </w:rPr>
        <w:t>Informacje te są przekazywane wyborcy niepełnosprawnemu, przez upoważnionego przez Prezydenta Miasta Tomaszowa Mazowieckiego pracownika Urzędu Miasta Tomaszowa Mazowieckiego, na jego własny wniosek złożony:</w:t>
      </w:r>
    </w:p>
    <w:p>
      <w:pPr>
        <w:pStyle w:val="Normal"/>
        <w:spacing w:lineRule="auto" w:line="360" w:before="0" w:after="115"/>
        <w:ind w:left="0" w:right="55" w:hanging="10"/>
        <w:rPr>
          <w:b/>
          <w:b/>
          <w:bCs/>
        </w:rPr>
      </w:pPr>
      <w:r>
        <w:rPr>
          <w:b w:val="false"/>
          <w:bCs w:val="false"/>
          <w:sz w:val="24"/>
          <w:szCs w:val="24"/>
        </w:rPr>
        <w:t>- pisemnie na adres, ul. P. O. W. 10/16, 97-200 Tomaszów Mazowiecki;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 w:val="false"/>
          <w:bCs w:val="false"/>
          <w:sz w:val="24"/>
          <w:szCs w:val="24"/>
        </w:rPr>
        <w:t>- telefonicznie pod numerem telefonu 44 7242311 w. 509, 516;</w:t>
      </w:r>
      <w:r>
        <w:rPr>
          <w:b/>
          <w:bCs/>
          <w:sz w:val="24"/>
          <w:szCs w:val="24"/>
        </w:rPr>
        <w:t xml:space="preserve">  </w:t>
      </w:r>
      <w:r>
        <w:rPr>
          <w:b w:val="false"/>
          <w:bCs w:val="false"/>
          <w:sz w:val="24"/>
          <w:szCs w:val="24"/>
        </w:rPr>
        <w:t>lub</w:t>
      </w:r>
      <w:r>
        <w:rPr>
          <w:b/>
          <w:bCs/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bezp. 44 7262509, 44 7262516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 w:val="false"/>
          <w:bCs w:val="false"/>
          <w:sz w:val="24"/>
          <w:szCs w:val="24"/>
        </w:rPr>
        <w:t xml:space="preserve">- w formie elektronicznej na adres e-mail: </w:t>
      </w:r>
      <w:hyperlink r:id="rId2">
        <w:r>
          <w:rPr>
            <w:rStyle w:val="Czeinternetowe"/>
            <w:b w:val="false"/>
            <w:bCs w:val="false"/>
            <w:sz w:val="24"/>
            <w:szCs w:val="24"/>
          </w:rPr>
          <w:t>wldg@tomaszo-maz.pl</w:t>
        </w:r>
      </w:hyperlink>
    </w:p>
    <w:p>
      <w:pPr>
        <w:pStyle w:val="Normal"/>
        <w:spacing w:lineRule="auto" w:line="360" w:before="0" w:after="115"/>
        <w:ind w:left="0" w:right="55" w:hanging="10"/>
        <w:rPr>
          <w:b/>
          <w:b/>
          <w:bCs/>
        </w:rPr>
      </w:pPr>
      <w:r>
        <w:rPr>
          <w:b w:val="false"/>
          <w:bCs w:val="false"/>
          <w:sz w:val="24"/>
          <w:szCs w:val="24"/>
        </w:rPr>
        <w:t>We wniosku, o którym mowa, wyborca podaje nazwisko, imię (imiona) oraz adres stałego zamieszkania.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 w:val="false"/>
          <w:bCs w:val="false"/>
          <w:sz w:val="24"/>
          <w:szCs w:val="24"/>
        </w:rPr>
        <w:t>Informacje, o których mowa wyżej, są także dostępne w biuletynie Informacji Publicznej Gminy – Miasto Tomaszów Mazowiecki.</w:t>
      </w:r>
    </w:p>
    <w:p>
      <w:pPr>
        <w:pStyle w:val="Normal"/>
        <w:spacing w:lineRule="auto" w:line="360" w:before="0" w:after="115"/>
        <w:ind w:left="0" w:right="55" w:hanging="1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/>
          <w:bCs/>
          <w:sz w:val="24"/>
          <w:szCs w:val="24"/>
        </w:rPr>
        <w:t>II. Prawo do głosowania korespondencyjnego</w:t>
      </w:r>
    </w:p>
    <w:p>
      <w:pPr>
        <w:pStyle w:val="Normal"/>
        <w:spacing w:lineRule="auto" w:line="360" w:before="0" w:after="115"/>
        <w:ind w:left="0" w:right="55" w:hanging="10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 w:val="false"/>
          <w:bCs w:val="false"/>
          <w:sz w:val="24"/>
          <w:szCs w:val="24"/>
        </w:rPr>
        <w:t xml:space="preserve">Głosować korespondencyjnie może każdy wyborca, w tym również wyborca niepełnosprawny. Wyborca niepełnosprawny głosujący w kraju może zażądać dołączenia do pakietu wyborczego nakładki na kartę do głosowania sporządzonej w alfabecie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</w:rPr>
        <w:t xml:space="preserve">Braille’a. Głosowanie korespondencyjne 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</w:rPr>
        <w:t xml:space="preserve">jest wyłączone w przypadku głosowania w odrębnych obwodach głosowania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</w:rPr>
        <w:t xml:space="preserve">utworzonych w zakładach leczniczych, domach pomocy społecznej, domach studenckich lub zespołach domów studenckich, zakładach karnych i aresztach śledczych oraz oddziałach zewnętrznych takiego zakładu i aresztu oraz w obwodach głosowania utworzonych na polskich statkach morskich, 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</w:rPr>
        <w:t>a także             w przypadku udzielenia przez wyborcę niepełnosprawnego pełnomocnictwa do głosowania.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</w:rPr>
        <w:t xml:space="preserve"> Nie może głosować korespondencyjnie również wyborca, który otrzymał zaświadczenie o prawie do głosowania.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</w:rPr>
        <w:t xml:space="preserve"> 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rFonts w:eastAsia="Times New Roman" w:cs="Times New Roman"/>
          <w:b/>
          <w:bCs/>
          <w:i w:val="false"/>
          <w:iCs w:val="false"/>
          <w:sz w:val="24"/>
          <w:szCs w:val="24"/>
        </w:rPr>
        <w:t xml:space="preserve">Zamiar głosownia korespondencyjnego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</w:rPr>
        <w:t xml:space="preserve">wyborca wpisany do spisu wyborców na terenie  Gminy-Miasto Tomaszów Mazowiecki zgłasza komisarzowi wyborczemu </w:t>
      </w:r>
      <w:r>
        <w:rPr>
          <w:b w:val="false"/>
          <w:bCs w:val="false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za pośrednictwem Urzędu Miasta Tomaszowa Mazowieckiego </w:t>
      </w:r>
      <w:r>
        <w:rPr>
          <w:b w:val="false"/>
          <w:bCs w:val="false"/>
          <w:sz w:val="24"/>
          <w:szCs w:val="24"/>
        </w:rPr>
        <w:t xml:space="preserve">najpóźniej </w:t>
      </w:r>
      <w:r>
        <w:rPr>
          <w:b/>
          <w:bCs/>
          <w:sz w:val="24"/>
          <w:szCs w:val="24"/>
        </w:rPr>
        <w:t xml:space="preserve">do dnia 16 czerwca 2020 r. 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 w:val="false"/>
          <w:bCs w:val="false"/>
          <w:sz w:val="24"/>
          <w:szCs w:val="24"/>
        </w:rPr>
        <w:t xml:space="preserve">Wyborca </w:t>
      </w:r>
      <w:r>
        <w:rPr>
          <w:b/>
          <w:bCs/>
          <w:sz w:val="24"/>
          <w:szCs w:val="24"/>
        </w:rPr>
        <w:t xml:space="preserve">podlegający w dniu wyborów obowiązkowej kwarantannie, izolacji lub izolacji w warunkach domowych </w:t>
      </w:r>
      <w:r>
        <w:rPr>
          <w:b w:val="false"/>
          <w:bCs w:val="false"/>
          <w:sz w:val="24"/>
          <w:szCs w:val="24"/>
        </w:rPr>
        <w:t xml:space="preserve">może zgłosić zamiar głosowania korespondencyjnego najpóźniej </w:t>
      </w:r>
      <w:r>
        <w:rPr>
          <w:b/>
          <w:bCs/>
          <w:sz w:val="24"/>
          <w:szCs w:val="24"/>
        </w:rPr>
        <w:t xml:space="preserve">do dnia 23 czerwca 2020 r., </w:t>
      </w:r>
      <w:r>
        <w:rPr>
          <w:b w:val="false"/>
          <w:bCs w:val="false"/>
          <w:sz w:val="24"/>
          <w:szCs w:val="24"/>
        </w:rPr>
        <w:t xml:space="preserve"> natomiast jeżeli </w:t>
      </w:r>
      <w:r>
        <w:rPr>
          <w:b/>
          <w:bCs/>
          <w:sz w:val="24"/>
          <w:szCs w:val="24"/>
        </w:rPr>
        <w:t xml:space="preserve">rozpoczął podleganie obowiązkowej kwarantannie, izolacji lub izolacji w warunkach domowych po tym dniu, </w:t>
      </w:r>
      <w:r>
        <w:rPr>
          <w:b w:val="false"/>
          <w:bCs w:val="false"/>
          <w:sz w:val="24"/>
          <w:szCs w:val="24"/>
        </w:rPr>
        <w:t xml:space="preserve">może zgłosić zamiar głosowania korespondencyjnego najpóźniej </w:t>
      </w:r>
      <w:r>
        <w:rPr>
          <w:b/>
          <w:bCs/>
          <w:sz w:val="24"/>
          <w:szCs w:val="24"/>
        </w:rPr>
        <w:t>do dnia 26 czerwca 2020 r</w:t>
      </w:r>
      <w:r>
        <w:rPr>
          <w:b w:val="false"/>
          <w:bCs w:val="false"/>
          <w:sz w:val="24"/>
          <w:szCs w:val="24"/>
        </w:rPr>
        <w:t>.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/>
          <w:bCs/>
          <w:sz w:val="24"/>
          <w:szCs w:val="24"/>
        </w:rPr>
        <w:t>Zgłoszenie zamiaru głosowania korespondencyjnego dotyczy również ponownego głosowania (tzw. II tury wyborów).</w:t>
      </w:r>
      <w:r>
        <w:rPr>
          <w:b w:val="false"/>
          <w:bCs w:val="false"/>
          <w:sz w:val="24"/>
          <w:szCs w:val="24"/>
        </w:rPr>
        <w:t xml:space="preserve"> 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 w:val="false"/>
          <w:bCs w:val="false"/>
          <w:sz w:val="24"/>
          <w:szCs w:val="24"/>
        </w:rPr>
        <w:t xml:space="preserve">W przypadku przeprowadzenia ponownego głosowania wyborca, który nie zgłosił zamiaru głosowania korespondencyjnego przed pierwszym głosowaniem, </w:t>
      </w:r>
      <w:r>
        <w:rPr>
          <w:b/>
          <w:bCs/>
          <w:sz w:val="24"/>
          <w:szCs w:val="24"/>
        </w:rPr>
        <w:t xml:space="preserve">może </w:t>
      </w:r>
      <w:r>
        <w:rPr>
          <w:b w:val="false"/>
          <w:bCs w:val="false"/>
          <w:sz w:val="24"/>
          <w:szCs w:val="24"/>
        </w:rPr>
        <w:t xml:space="preserve">po dniu pierwszego głosowania zgłosić komisarzowi wyborczemu za pośrednictwem Urzędu Miasta w Tomaszowie Mazowieckim zamiar głosowania korespondencyjnego w ponownym głosowaniu, najpóźniej do dnia 29 czerwca 2020 r. w przypadku wyborcy, który w dniu głosowania </w:t>
      </w:r>
      <w:r>
        <w:rPr>
          <w:b/>
          <w:bCs/>
          <w:sz w:val="24"/>
          <w:szCs w:val="24"/>
        </w:rPr>
        <w:t xml:space="preserve">będzie podlegał obowiązkowej kwarantannie, izolacji lub izolacji w warunkach domowych, </w:t>
      </w:r>
      <w:r>
        <w:rPr>
          <w:b w:val="false"/>
          <w:bCs w:val="false"/>
          <w:sz w:val="24"/>
          <w:szCs w:val="24"/>
        </w:rPr>
        <w:t xml:space="preserve">może on zgłosić zamiar głosowania korespondencyjnego najpóźniej </w:t>
      </w:r>
      <w:r>
        <w:rPr>
          <w:b/>
          <w:bCs/>
          <w:sz w:val="24"/>
          <w:szCs w:val="24"/>
        </w:rPr>
        <w:t xml:space="preserve">do dnia 7 lipca 2020 r. </w:t>
      </w:r>
      <w:r>
        <w:rPr>
          <w:b w:val="false"/>
          <w:bCs w:val="false"/>
          <w:sz w:val="24"/>
          <w:szCs w:val="24"/>
        </w:rPr>
        <w:t xml:space="preserve">natomiast wyborca, który rozpocznie podleganie obowiązkowej kwarantannie, izolacji w warunkach domowych po tym terminie,  może zgłosić ten zamiar najpóźniej </w:t>
      </w:r>
      <w:r>
        <w:rPr>
          <w:b/>
          <w:bCs/>
          <w:sz w:val="24"/>
          <w:szCs w:val="24"/>
        </w:rPr>
        <w:t xml:space="preserve">do dnia 10 lipca 2020 r. </w:t>
      </w:r>
    </w:p>
    <w:p>
      <w:pPr>
        <w:pStyle w:val="Normal"/>
        <w:widowControl/>
        <w:suppressAutoHyphens w:val="true"/>
        <w:bidi w:val="0"/>
        <w:spacing w:lineRule="auto" w:line="360" w:before="0" w:after="115"/>
        <w:ind w:left="0" w:right="57" w:hanging="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</w:rPr>
        <w:t xml:space="preserve">Pomocniczy wzór zgłoszenia zamiaru głosowania korespondencyjnego stanowi </w:t>
      </w:r>
      <w:r>
        <w:rPr>
          <w:rFonts w:eastAsia="Times New Roman" w:cs="Times New Roman"/>
          <w:b/>
          <w:bCs/>
          <w:i/>
          <w:iCs/>
          <w:sz w:val="24"/>
          <w:szCs w:val="24"/>
        </w:rPr>
        <w:t>załącznik</w:t>
      </w:r>
      <w:r>
        <w:rPr>
          <w:rFonts w:eastAsia="Times New Roman" w:cs="Times New Roman"/>
          <w:b w:val="false"/>
          <w:bCs w:val="false"/>
          <w:i/>
          <w:iCs/>
          <w:sz w:val="24"/>
          <w:szCs w:val="24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</w:rPr>
        <w:t>do informacji.</w:t>
      </w:r>
    </w:p>
    <w:p>
      <w:pPr>
        <w:pStyle w:val="Normal"/>
        <w:widowControl/>
        <w:suppressAutoHyphens w:val="true"/>
        <w:bidi w:val="0"/>
        <w:spacing w:lineRule="auto" w:line="360" w:before="0" w:after="115"/>
        <w:ind w:left="0" w:right="57" w:hanging="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</w:rPr>
        <w:t xml:space="preserve">Zgłoszenie może być dokonane ustnie, pisemnie, lub w formie elektronicznej za pośrednictwem usługi udostępnionej na platformie e-PUAP.  Powinno ono zawierać nazwisko i imię (imiona), imię ojca, datę urodzenia, numer ewidencyjny PESEL wyborcy, wskazanie adresu, na który ma być wysłany pakiet wyborczy, wskazanie numeru telefonu lub adresu poczty elektronicznej                   (e-mail). </w:t>
      </w:r>
    </w:p>
    <w:p>
      <w:pPr>
        <w:pStyle w:val="Normal"/>
        <w:widowControl/>
        <w:suppressAutoHyphens w:val="true"/>
        <w:bidi w:val="0"/>
        <w:spacing w:lineRule="auto" w:line="360" w:before="0" w:after="115"/>
        <w:ind w:left="0" w:right="57" w:hanging="0"/>
        <w:jc w:val="both"/>
        <w:rPr/>
      </w:pPr>
      <w:r>
        <w:rPr>
          <w:rFonts w:eastAsia="Times New Roman" w:cs="Times New Roman"/>
          <w:b/>
          <w:bCs/>
          <w:i w:val="false"/>
          <w:iCs w:val="false"/>
          <w:sz w:val="24"/>
          <w:szCs w:val="24"/>
        </w:rPr>
        <w:t xml:space="preserve">Ustne zgłoszenie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</w:rPr>
        <w:t xml:space="preserve">zamiaru korespondencyjnego 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</w:rPr>
        <w:t xml:space="preserve">nie jest równoważne z telefonicznym zgłoszeniem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</w:rPr>
        <w:t xml:space="preserve">zamiaru głosowania korespondencyjnego. Przez ustne zgłoszenie zamiaru głosowania korespondencyjnego należy rozumieć osobiste zgłoszenie głosowania w ten sposób w Urzędzie Miasta w Tomaszowie Mazowieckim ul. P.O.W. 10/16, pokój 13 (budynek A, parter). 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</w:rPr>
        <w:t xml:space="preserve">Nie ma zatem prawnej możliwości telefonicznego zgłoszenia głosowania korespondencyjnego.        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</w:rPr>
        <w:t>Tego rodzaju zgłoszenie jest nieskuteczne (por. art 35§2 Kodeksu wyborczego).</w:t>
      </w:r>
    </w:p>
    <w:p>
      <w:pPr>
        <w:pStyle w:val="Normal"/>
        <w:widowControl/>
        <w:suppressAutoHyphens w:val="true"/>
        <w:bidi w:val="0"/>
        <w:spacing w:lineRule="auto" w:line="360" w:before="0" w:after="115"/>
        <w:ind w:left="0" w:right="57" w:hanging="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</w:rPr>
        <w:t>Nie ma możliwości dokonania zgłoszenia zamiaru głosowania korespondencyjnego za pośrednictwem poczty elektronicznej e-mail. Z art. 3 ust. 3 ustawy z dnia 2 czerwca 2020 r. wprost  wynika, że zgłoszenie to może zostać dokonane w formie elektronicznej za pośrednictwem usługi udostępnionej przez Ministra Cyfryzacji, a więc za pośrednictwem platformy ePUAP.</w:t>
      </w:r>
    </w:p>
    <w:p>
      <w:pPr>
        <w:pStyle w:val="Normal"/>
        <w:widowControl/>
        <w:suppressAutoHyphens w:val="true"/>
        <w:bidi w:val="0"/>
        <w:spacing w:lineRule="auto" w:line="360" w:before="0" w:after="115"/>
        <w:ind w:left="0" w:right="57" w:hanging="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</w:rPr>
        <w:t xml:space="preserve">Jeżeli zgłoszenie zamiaru głosowania korespondencyjnego nie będzie spełniało w/w wymogów    urzędnik wyborczy za pośrednictwem Urzędu Miasta w Tomaszowie Mazowieckim wezwie wyborcę do jego uzupełnienia w terminie jednego dnia od dnia doręczenia wezwania. Wezwanie może zostać dokonane w formie telefonicznej lub elektronicznej. </w:t>
      </w:r>
    </w:p>
    <w:p>
      <w:pPr>
        <w:pStyle w:val="Normal"/>
        <w:widowControl/>
        <w:suppressAutoHyphens w:val="true"/>
        <w:bidi w:val="0"/>
        <w:spacing w:lineRule="auto" w:line="360" w:before="0" w:after="115"/>
        <w:ind w:left="0" w:right="57" w:hanging="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</w:rPr>
        <w:t xml:space="preserve">Wyborca, który nie podlega w dniu głosowania obowiązkowej kwarantannie, izolacji lub izolacji     w warunkach domowych, zamiast wskazania adresu, na który ma być wysłany pakiet wyborczy, do zgłoszenia 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</w:rPr>
        <w:t xml:space="preserve">może dołączyć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</w:rPr>
        <w:t>deklarację osobistego odbioru pakietu wyborczego w Urzędzie Miasta    w Tomaszowie Mazowieckim</w:t>
      </w:r>
    </w:p>
    <w:p>
      <w:pPr>
        <w:pStyle w:val="Normal"/>
        <w:widowControl/>
        <w:suppressAutoHyphens w:val="true"/>
        <w:bidi w:val="0"/>
        <w:spacing w:lineRule="auto" w:line="360" w:before="0" w:after="115"/>
        <w:ind w:left="0" w:right="57" w:hanging="0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/>
          <w:bCs/>
          <w:i w:val="false"/>
          <w:iCs w:val="false"/>
          <w:sz w:val="24"/>
          <w:szCs w:val="24"/>
        </w:rPr>
        <w:t xml:space="preserve">W skład pakietu wyborczego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</w:rPr>
        <w:t>przekazywanego wyborcy wchodzą: koperta zwrotna, karta do głosowania, koperta na kartę do głosowania, oświadczenie o osobistym i tajnym oddaniu głosu na karcie do głosowania, instrukcja głosowania korespondencyjnego i ewentualnie nakładka na kartę do głosowania sporządzona w alfabecie Braille’a – jeżeli wyborca zażądał jej przesłania.</w:t>
      </w:r>
    </w:p>
    <w:p>
      <w:pPr>
        <w:pStyle w:val="Normal"/>
        <w:widowControl/>
        <w:suppressAutoHyphens w:val="true"/>
        <w:bidi w:val="0"/>
        <w:spacing w:lineRule="auto" w:line="360" w:before="0" w:after="115"/>
        <w:ind w:left="0" w:right="57" w:hanging="0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</w:rPr>
        <w:t>Na karcie do głosowania wyborca oddaje głos, w sposób określony w informacji znajdującej się w dolnej części karty do głosowania.</w:t>
      </w:r>
    </w:p>
    <w:p>
      <w:pPr>
        <w:pStyle w:val="Normal"/>
        <w:widowControl/>
        <w:suppressAutoHyphens w:val="true"/>
        <w:bidi w:val="0"/>
        <w:spacing w:lineRule="auto" w:line="360" w:before="0" w:after="115"/>
        <w:ind w:left="0" w:right="57" w:hanging="0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</w:rPr>
        <w:t xml:space="preserve">Po oddaniu głosu, kartę do głosowania należy umieść w kopercie z napisem „Koperta na kartę do głosowania” i kopertę tę zakleić. 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single"/>
        </w:rPr>
        <w:t>Niezaklejenie koperty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 xml:space="preserve"> na kartę do głosowania spowoduje, że karta do głosowania 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single"/>
        </w:rPr>
        <w:t>nie będzie uwzględniona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 xml:space="preserve"> przy ustalaniu wyników głosowania.</w:t>
      </w:r>
    </w:p>
    <w:p>
      <w:pPr>
        <w:pStyle w:val="Normal"/>
        <w:widowControl/>
        <w:suppressAutoHyphens w:val="true"/>
        <w:bidi w:val="0"/>
        <w:spacing w:lineRule="auto" w:line="360" w:before="0" w:after="115"/>
        <w:ind w:left="0" w:right="57" w:hanging="0"/>
        <w:jc w:val="both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</w:rPr>
        <w:t xml:space="preserve">Zaklejoną kopertę na kartę do głosowania należy włożyć do koperty zwrotnej. Na kopercie zwrotnej 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</w:rPr>
        <w:t xml:space="preserve">umieszczony musi być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</w:rPr>
        <w:t>adres i numer właściwej obwodowej komisji wyborczej.</w:t>
      </w:r>
    </w:p>
    <w:p>
      <w:pPr>
        <w:pStyle w:val="Normal"/>
        <w:widowControl/>
        <w:suppressAutoHyphens w:val="true"/>
        <w:bidi w:val="0"/>
        <w:spacing w:lineRule="auto" w:line="360" w:before="0" w:after="115"/>
        <w:ind w:left="0" w:right="57" w:hanging="0"/>
        <w:jc w:val="both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</w:rPr>
        <w:t>Na formularzu oświadczenia o osobistym i tajnym oddaniu głosu umieszczone muszą być dane wyborcy : imię i nazwisko, numer ewidencyjny PESEL, własnoręczny podpis. Wyborca musi upewnić się, że wszystkie wskazane wyżej dane umieszczone zostały na formularzu oświadczenia.</w:t>
      </w:r>
    </w:p>
    <w:p>
      <w:pPr>
        <w:pStyle w:val="Normal"/>
        <w:widowControl/>
        <w:suppressAutoHyphens w:val="true"/>
        <w:bidi w:val="0"/>
        <w:spacing w:lineRule="auto" w:line="360" w:before="0" w:after="115"/>
        <w:ind w:left="0" w:right="57" w:hanging="0"/>
        <w:jc w:val="both"/>
        <w:rPr>
          <w:b/>
          <w:b/>
          <w:bCs/>
          <w:i w:val="false"/>
          <w:i w:val="false"/>
          <w:iCs w:val="false"/>
        </w:rPr>
      </w:pPr>
      <w:r>
        <w:rPr>
          <w:rFonts w:eastAsia="Times New Roman" w:cs="Times New Roman"/>
          <w:b/>
          <w:bCs/>
          <w:i w:val="false"/>
          <w:iCs w:val="false"/>
          <w:sz w:val="24"/>
          <w:szCs w:val="24"/>
        </w:rPr>
        <w:t xml:space="preserve">Oświadczenie wkłada się do koperty zwrotnej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</w:rPr>
        <w:t xml:space="preserve">(z adresem obwodowej komisji wyborczej). 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single"/>
        </w:rPr>
        <w:t xml:space="preserve">Niewłożenie oświadczenia do koperty zwrotnej, niewypełnienie go lub niepodpisanie spowoduje, 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 xml:space="preserve">że karta do głosowania 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single"/>
        </w:rPr>
        <w:t xml:space="preserve">nie będzie 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>uwzględniona przy ustalaniu wyników głosowania.</w:t>
      </w:r>
    </w:p>
    <w:p>
      <w:pPr>
        <w:pStyle w:val="Normal"/>
        <w:widowControl/>
        <w:suppressAutoHyphens w:val="true"/>
        <w:bidi w:val="0"/>
        <w:spacing w:lineRule="auto" w:line="360" w:before="0" w:after="115"/>
        <w:ind w:left="0" w:right="57" w:hanging="0"/>
        <w:jc w:val="both"/>
        <w:rPr>
          <w:b/>
          <w:b/>
          <w:bCs/>
          <w:i w:val="false"/>
          <w:i w:val="false"/>
          <w:iCs w:val="false"/>
        </w:rPr>
      </w:pP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 xml:space="preserve">W przypadku głosowania w kraju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>kopertę zwrotną zawierającą: zaklejoną kopertę z kart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>ą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 do głosowania, wypełnione i podpisane oświadczenie o osobistym i tajnym oddaniu głosu należy zakleić i najpóźniej 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 xml:space="preserve">dnia 26 czerwca 2020 r. </w:t>
      </w:r>
    </w:p>
    <w:p>
      <w:pPr>
        <w:pStyle w:val="Normal"/>
        <w:widowControl/>
        <w:numPr>
          <w:ilvl w:val="0"/>
          <w:numId w:val="2"/>
        </w:numPr>
        <w:suppressAutoHyphens w:val="true"/>
        <w:bidi w:val="0"/>
        <w:spacing w:lineRule="auto" w:line="360" w:before="0" w:after="115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>wrzucić do znajdującej się na terenie Gminy – Miasto Tomaszów Mazowiecki, w której zlokalizowana jest obwodowa komisja wyborcza właściwa dla danego wyborcy, nadawczej skrzynki pocztowej Poczty Polskiej,</w:t>
      </w:r>
    </w:p>
    <w:p>
      <w:pPr>
        <w:pStyle w:val="Normal"/>
        <w:widowControl/>
        <w:numPr>
          <w:ilvl w:val="0"/>
          <w:numId w:val="2"/>
        </w:numPr>
        <w:suppressAutoHyphens w:val="true"/>
        <w:bidi w:val="0"/>
        <w:spacing w:lineRule="auto" w:line="360" w:before="0" w:after="115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>osobiście lub za pośrednictwem innej osoby dostarczyć kopertę zwrotną do Urzędu Miasta Tomaszowa Mazowieckiego w godzinach pracy Urzędu.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115"/>
        <w:ind w:left="720" w:hanging="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Wyborca może w dniu wyborów, 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 xml:space="preserve">do czasu zakończenia głosowania,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osobiście lub za pośrednictwem innej osoby dostarczyć kopertę zwrotną do obwodowej komisji wyborczej                w obwodzie głosowania, w którym jest wpisany do spisu wyborców. </w:t>
      </w:r>
    </w:p>
    <w:p>
      <w:pPr>
        <w:pStyle w:val="Normal"/>
        <w:widowControl/>
        <w:suppressAutoHyphens w:val="true"/>
        <w:bidi w:val="0"/>
        <w:spacing w:lineRule="auto" w:line="360" w:before="0" w:after="115"/>
        <w:ind w:left="0" w:right="57" w:hanging="0"/>
        <w:jc w:val="both"/>
        <w:rPr>
          <w:rFonts w:eastAsia="Times New Roman" w:cs="Times New Roman"/>
          <w:b w:val="false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0" w:right="57" w:hanging="0"/>
        <w:jc w:val="both"/>
        <w:rPr/>
      </w:pP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>III.  Prawo do głosowania przez pełnomocnika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0" w:right="57" w:hanging="0"/>
        <w:jc w:val="both"/>
        <w:rPr>
          <w:rFonts w:ascii="Times New Roman" w:hAnsi="Times New Roman" w:eastAsia="Times New Roman" w:cs="Times New Roman"/>
          <w:b/>
          <w:b/>
          <w:bCs/>
          <w:i w:val="false"/>
          <w:i w:val="false"/>
          <w:iCs w:val="false"/>
          <w:sz w:val="24"/>
          <w:szCs w:val="24"/>
          <w:u w:val="none"/>
        </w:rPr>
      </w:pP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0" w:right="57" w:hanging="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Wyborcy niepełnosprawni, posiadający orzeczenie o znacznym lub umiarkowanym stopniu niepełnosprawności w rozumieniu ustawy z dnia 27 sierpnia 1997 r. o rehabilitacji zawodowej </w:t>
        <w:br/>
        <w:t xml:space="preserve">i społecznej oraz zatrudnieniu osób niepełnosprawnych ((Dz. U. z  2019.1172 z późn. zm.), </w:t>
        <w:br/>
        <w:t>w tym także wyborcy posiadający orzeczenie organu rentowego o:</w:t>
      </w:r>
    </w:p>
    <w:p>
      <w:pPr>
        <w:pStyle w:val="Normal"/>
        <w:widowControl/>
        <w:suppressAutoHyphens w:val="true"/>
        <w:bidi w:val="0"/>
        <w:spacing w:lineRule="auto" w:line="360" w:before="0" w:after="115"/>
        <w:ind w:left="283" w:right="57" w:hanging="283"/>
        <w:jc w:val="both"/>
        <w:rPr/>
      </w:pPr>
      <w:r>
        <w:rPr>
          <w:b/>
          <w:bCs/>
          <w:sz w:val="24"/>
          <w:szCs w:val="24"/>
        </w:rPr>
        <w:t xml:space="preserve">1) </w:t>
      </w:r>
      <w:r>
        <w:rPr>
          <w:b w:val="false"/>
          <w:bCs w:val="false"/>
          <w:sz w:val="24"/>
          <w:szCs w:val="24"/>
        </w:rPr>
        <w:t xml:space="preserve">całkowitej niezdolności do pracy, ustalone na podstawie art. 12 ust. 2, i niezdolności do   samodzielnej egzystencji, ustalone na podstawie art. 13 ust.5 ustawy z dnia 17 grudnia 1998 r. </w:t>
        <w:br/>
        <w:t>o emeryturach i rentach z funduszu Ubezpieczeń społecznych (Dz. U. z 2020.53 tekst jednolity);</w:t>
      </w:r>
    </w:p>
    <w:p>
      <w:pPr>
        <w:pStyle w:val="Normal"/>
        <w:widowControl/>
        <w:suppressAutoHyphens w:val="true"/>
        <w:bidi w:val="0"/>
        <w:spacing w:lineRule="auto" w:line="360" w:before="0" w:after="115"/>
        <w:ind w:left="283" w:right="57" w:hanging="283"/>
        <w:jc w:val="both"/>
        <w:rPr>
          <w:rFonts w:ascii="Times New Roman" w:hAnsi="Times New Roman"/>
        </w:rPr>
      </w:pPr>
      <w:r>
        <w:rPr>
          <w:b/>
          <w:bCs/>
          <w:sz w:val="24"/>
          <w:szCs w:val="24"/>
        </w:rPr>
        <w:t xml:space="preserve">2) </w:t>
      </w:r>
      <w:r>
        <w:rPr>
          <w:b w:val="false"/>
          <w:bCs w:val="false"/>
          <w:sz w:val="24"/>
          <w:szCs w:val="24"/>
        </w:rPr>
        <w:t>niezdolności do samodzielnej egzystencji, ustalone na podstawie art. 13 ust. 5 ustawy wymienionej w pkt 1;</w:t>
      </w:r>
    </w:p>
    <w:p>
      <w:pPr>
        <w:pStyle w:val="Normal"/>
        <w:widowControl/>
        <w:suppressAutoHyphens w:val="true"/>
        <w:bidi w:val="0"/>
        <w:spacing w:lineRule="auto" w:line="360" w:before="0" w:after="115"/>
        <w:ind w:left="283" w:right="57" w:hanging="283"/>
        <w:jc w:val="both"/>
        <w:rPr>
          <w:rFonts w:ascii="Times New Roman" w:hAnsi="Times New Roman"/>
        </w:rPr>
      </w:pPr>
      <w:r>
        <w:rPr>
          <w:b/>
          <w:bCs/>
          <w:sz w:val="24"/>
          <w:szCs w:val="24"/>
        </w:rPr>
        <w:t xml:space="preserve">3) </w:t>
      </w:r>
      <w:r>
        <w:rPr>
          <w:b w:val="false"/>
          <w:bCs w:val="false"/>
          <w:sz w:val="24"/>
          <w:szCs w:val="24"/>
        </w:rPr>
        <w:t xml:space="preserve">całkowitej niezdolności do pracy, ustalone na podstawie art. 12 ust. 2 ustawy wymienionej </w:t>
        <w:br/>
        <w:t>w pkt 1;</w:t>
      </w:r>
    </w:p>
    <w:p>
      <w:pPr>
        <w:pStyle w:val="Normal"/>
        <w:widowControl/>
        <w:suppressAutoHyphens w:val="true"/>
        <w:bidi w:val="0"/>
        <w:spacing w:lineRule="auto" w:line="360" w:before="0" w:after="115"/>
        <w:ind w:left="283" w:right="57" w:hanging="283"/>
        <w:jc w:val="both"/>
        <w:rPr>
          <w:rFonts w:ascii="Times New Roman" w:hAnsi="Times New Roman"/>
        </w:rPr>
      </w:pPr>
      <w:r>
        <w:rPr>
          <w:b/>
          <w:bCs/>
          <w:sz w:val="24"/>
          <w:szCs w:val="24"/>
        </w:rPr>
        <w:t xml:space="preserve">4) </w:t>
      </w:r>
      <w:r>
        <w:rPr>
          <w:b w:val="false"/>
          <w:bCs w:val="false"/>
          <w:sz w:val="24"/>
          <w:szCs w:val="24"/>
        </w:rPr>
        <w:t>o zaliczeniu do I grupy inwalidów;</w:t>
      </w:r>
    </w:p>
    <w:p>
      <w:pPr>
        <w:pStyle w:val="Normal"/>
        <w:widowControl/>
        <w:suppressAutoHyphens w:val="true"/>
        <w:bidi w:val="0"/>
        <w:spacing w:lineRule="auto" w:line="360" w:before="0" w:after="115"/>
        <w:ind w:left="283" w:right="57" w:hanging="283"/>
        <w:jc w:val="both"/>
        <w:rPr>
          <w:rFonts w:ascii="Times New Roman" w:hAnsi="Times New Roman"/>
        </w:rPr>
      </w:pPr>
      <w:r>
        <w:rPr>
          <w:b/>
          <w:bCs/>
          <w:sz w:val="24"/>
          <w:szCs w:val="24"/>
        </w:rPr>
        <w:t xml:space="preserve">5) </w:t>
      </w:r>
      <w:r>
        <w:rPr>
          <w:b w:val="false"/>
          <w:bCs w:val="false"/>
          <w:sz w:val="24"/>
          <w:szCs w:val="24"/>
        </w:rPr>
        <w:t>o zaliczeniu do II grupy inwalidów;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0" w:right="57" w:hanging="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a także osoby o stałej albo długotrwałej niezdolności do pracy w gospodarstwie rolnym, którym przysługuje zasiłek pielęgnacyjny oraz wyborcy, którzy najpóźniej w dniu głosowania 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single"/>
        </w:rPr>
        <w:t xml:space="preserve">ukończą     60 lat,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>mają prawo do głosowania za pośrednictwem pełnomocnika. Głosować przez pełnomocnika można tylko w kraju.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0" w:right="57" w:hanging="0"/>
        <w:jc w:val="both"/>
        <w:rPr>
          <w:rFonts w:ascii="Times New Roman" w:hAnsi="Times New Roman"/>
          <w:b w:val="false"/>
          <w:b w:val="false"/>
          <w:bCs w:val="false"/>
          <w:u w:val="none"/>
        </w:rPr>
      </w:pP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 xml:space="preserve">Pełnomocnikiem może być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>osoba wpisana do rejestru wyborców w tej samej gminie, co udzielający pełnomocnictwa do głosowania lub posiadający zaświadczenie o prawie do głosowania.</w:t>
      </w:r>
    </w:p>
    <w:p>
      <w:pPr>
        <w:pStyle w:val="Normal"/>
        <w:widowControl/>
        <w:suppressAutoHyphens w:val="true"/>
        <w:bidi w:val="0"/>
        <w:spacing w:lineRule="auto" w:line="240" w:before="0" w:after="58"/>
        <w:ind w:left="0" w:right="57" w:hanging="0"/>
        <w:jc w:val="both"/>
        <w:rPr>
          <w:rFonts w:eastAsia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eastAsia="Times New Roman" w:cs="Times New Roman"/>
          <w:i w:val="false"/>
          <w:iCs w:val="false"/>
          <w:sz w:val="24"/>
          <w:szCs w:val="24"/>
        </w:rPr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0" w:right="57" w:hanging="0"/>
        <w:jc w:val="both"/>
        <w:rPr>
          <w:rFonts w:ascii="Times New Roman" w:hAnsi="Times New Roman"/>
          <w:b/>
          <w:b/>
          <w:bCs/>
          <w:u w:val="none"/>
        </w:rPr>
      </w:pP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>Pełnomocnikiem nie może być: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340" w:right="57" w:hanging="340"/>
        <w:jc w:val="both"/>
        <w:rPr>
          <w:rFonts w:ascii="Times New Roman" w:hAnsi="Times New Roman"/>
          <w:b/>
          <w:b/>
          <w:bCs/>
          <w:u w:val="none"/>
        </w:rPr>
      </w:pP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 xml:space="preserve">1)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>osoba wchodząca w skład komisji obwodowej właściwej dla obwodu głosowania osoby udzielającej pełnomocnictwa do głosowania;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0" w:right="57" w:hanging="0"/>
        <w:jc w:val="both"/>
        <w:rPr>
          <w:rFonts w:ascii="Times New Roman" w:hAnsi="Times New Roman"/>
          <w:b/>
          <w:b/>
          <w:bCs/>
          <w:u w:val="none"/>
        </w:rPr>
      </w:pP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 xml:space="preserve">2) 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>mąż zaufania;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0" w:right="57" w:hanging="0"/>
        <w:jc w:val="both"/>
        <w:rPr>
          <w:rFonts w:ascii="Times New Roman" w:hAnsi="Times New Roman"/>
          <w:b/>
          <w:b/>
          <w:bCs/>
          <w:u w:val="none"/>
        </w:rPr>
      </w:pP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 xml:space="preserve">3) 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>obserwator społeczny;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0" w:right="57" w:hanging="0"/>
        <w:jc w:val="both"/>
        <w:rPr/>
      </w:pP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>4)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  osoba kandydująca w wyborach.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0" w:right="57" w:hanging="0"/>
        <w:jc w:val="both"/>
        <w:rPr/>
      </w:pP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>Pełnomocnictwo można przyjąć: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0" w:right="57" w:hanging="0"/>
        <w:jc w:val="both"/>
        <w:rPr>
          <w:rFonts w:ascii="Times New Roman" w:hAnsi="Times New Roman"/>
          <w:b/>
          <w:b/>
          <w:bCs/>
          <w:u w:val="none"/>
        </w:rPr>
      </w:pP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 xml:space="preserve">1)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>tylko od jednej osoby lub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283" w:right="57" w:hanging="283"/>
        <w:jc w:val="both"/>
        <w:rPr/>
      </w:pP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 xml:space="preserve">2)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od dwóch osób, jeżeli co najmniej jedną z nich jest wstępny (ojciec, matka, dziadek, babka, itd.), zstępny (syn, córka, wnuk, wnuczka, itd.), małżonek, brat, siostra lub osoba pozostająca </w:t>
        <w:br/>
        <w:t>w stosunku przysposobienia, opieki lub kurateli w stosunku do pełnomocnika.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283" w:right="57" w:hanging="283"/>
        <w:jc w:val="both"/>
        <w:rPr/>
      </w:pP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 xml:space="preserve">Pełnomocnictwa udziela się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>przed pracownikiem Urzędu Miasta Tomaszowa Mazowieckiego, upoważnionym przez Prezydenta Miasta Tomaszowa Mazowieckiego do sporządzania aktów pełnomocnictwa do głosowania.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57" w:right="57" w:hanging="5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ab/>
        <w:t xml:space="preserve">W celu sporządzenia aktu pełnomocnictwa wyborca wpisany do stałego rejestru wyborców </w:t>
        <w:br/>
        <w:t xml:space="preserve">w Gminie-Miasto Tomaszów Mazowiecki 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>składa wniosek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 do Prezydenta Miasta Tomaszowa Mazowieckiego  - Urząd Miasta ul. P.O.W. 10/16, pokój 10 (budynek A, parter).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57" w:right="57" w:hanging="5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Wniosek należy 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 xml:space="preserve">złożyć najpóźniej  do dnia 19 czerwca 2020 r.  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57" w:right="57" w:hanging="57"/>
        <w:jc w:val="both"/>
        <w:rPr/>
      </w:pP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 xml:space="preserve">Wzór wniosku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>ustalony został przez Ministra Spraw Wewnętrznych i Administracji i stanowi</w:t>
      </w:r>
      <w:r>
        <w:rPr>
          <w:rFonts w:eastAsia="Times New Roman" w:cs="Times New Roman"/>
          <w:b w:val="false"/>
          <w:bCs w:val="false"/>
          <w:i/>
          <w:iCs/>
          <w:sz w:val="24"/>
          <w:szCs w:val="24"/>
          <w:u w:val="none"/>
        </w:rPr>
        <w:t xml:space="preserve"> załącznik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>do informacji.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57" w:right="57" w:hanging="5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Akt pełnomocnictwa sporządzony przed pierwszym głosowaniem dotyczy również ponownego głosowania, jeżeli będzie ono przeprowadzane. Natomiast wyborca, który nie złożył wniosku </w:t>
        <w:br/>
        <w:t xml:space="preserve">o sporządzenie aktu pełnomocnictwa przed pierwszym głosowaniem, może po dniu          pierwszego głosowania złożyć wniosek o sporządzenie aktu pełnomocnictwa, najpóźniej               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>do dnia 3 lipca 2020 r.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 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57" w:right="57" w:hanging="57"/>
        <w:jc w:val="both"/>
        <w:rPr>
          <w:rFonts w:ascii="Times New Roman" w:hAnsi="Times New Roman"/>
          <w:b/>
          <w:b/>
          <w:bCs/>
          <w:u w:val="non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>Do wniosku należy dołączyć:</w:t>
      </w:r>
    </w:p>
    <w:p>
      <w:pPr>
        <w:pStyle w:val="Normal"/>
        <w:widowControl/>
        <w:numPr>
          <w:ilvl w:val="0"/>
          <w:numId w:val="1"/>
        </w:numPr>
        <w:suppressAutoHyphens w:val="true"/>
        <w:bidi w:val="0"/>
        <w:spacing w:lineRule="auto" w:line="360" w:before="0" w:after="58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pisemną zgodę osoby mającej być pełnomocnikiem na przyjęcie pełnomocnictwa – 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 xml:space="preserve">wzór zgody na przyjęcie pełnomocnictwa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ustalony został przez Ministra Spraw Wewnętrznych </w:t>
        <w:br/>
        <w:t xml:space="preserve">i Administracji i stanowi </w:t>
      </w:r>
      <w:r>
        <w:rPr>
          <w:rFonts w:eastAsia="Times New Roman" w:cs="Times New Roman"/>
          <w:b w:val="false"/>
          <w:bCs w:val="false"/>
          <w:i/>
          <w:iCs/>
          <w:sz w:val="24"/>
          <w:szCs w:val="24"/>
          <w:u w:val="none"/>
        </w:rPr>
        <w:t>załącznik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>do informacji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>.</w:t>
      </w:r>
    </w:p>
    <w:p>
      <w:pPr>
        <w:pStyle w:val="Normal"/>
        <w:widowControl/>
        <w:numPr>
          <w:ilvl w:val="0"/>
          <w:numId w:val="1"/>
        </w:numPr>
        <w:suppressAutoHyphens w:val="true"/>
        <w:bidi w:val="0"/>
        <w:spacing w:lineRule="auto" w:line="360" w:before="0" w:after="58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Kopię aktualnego orzeczenia właściwego organu orzekającego o ustaleniu stopnia niepełnosprawności, 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>jeżeli wyborca udzielający pełnomocnictwa w dniu głosowania nie będzie miał ukończonych 60 lat.</w:t>
      </w:r>
    </w:p>
    <w:p>
      <w:pPr>
        <w:pStyle w:val="Normal"/>
        <w:widowControl/>
        <w:numPr>
          <w:ilvl w:val="0"/>
          <w:numId w:val="1"/>
        </w:numPr>
        <w:suppressAutoHyphens w:val="true"/>
        <w:bidi w:val="0"/>
        <w:spacing w:lineRule="auto" w:line="360" w:before="0" w:after="58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>Kopię zaświadczenia o prawie do głosowania wydanego osobie mającej być pełnomocnikiem, jeżeli osoba ta nie jest ujęta w rejestrze wyborców w tej samej gminie co udzielający pełnomocnictwa.</w:t>
      </w:r>
    </w:p>
    <w:p>
      <w:pPr>
        <w:pStyle w:val="Normal"/>
        <w:widowControl/>
        <w:suppressAutoHyphens w:val="true"/>
        <w:bidi w:val="0"/>
        <w:spacing w:lineRule="auto" w:line="360" w:before="0" w:after="58"/>
        <w:jc w:val="both"/>
        <w:rPr>
          <w:rFonts w:ascii="Times New Roman" w:hAnsi="Times New Roman"/>
          <w:b w:val="false"/>
          <w:b w:val="false"/>
          <w:bCs w:val="false"/>
          <w:u w:val="non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Akt pełnomocnictwa jest sporządzany z zasady w miejscu zamieszkania wyborcy, chyba, że wyborca we wniosku zwróci się o jego sporządzenie w innym miejscu na obszarze gminy, w której stale zamieszkuje i ujęty jest w rejestrze wyborców. </w:t>
      </w:r>
    </w:p>
    <w:p>
      <w:pPr>
        <w:pStyle w:val="Normal"/>
        <w:widowControl/>
        <w:suppressAutoHyphens w:val="true"/>
        <w:bidi w:val="0"/>
        <w:spacing w:lineRule="auto" w:line="360" w:before="0" w:after="58"/>
        <w:jc w:val="both"/>
        <w:rPr>
          <w:rFonts w:ascii="Times New Roman" w:hAnsi="Times New Roman"/>
          <w:b w:val="false"/>
          <w:b w:val="false"/>
          <w:bCs w:val="false"/>
          <w:u w:val="none"/>
        </w:rPr>
      </w:pP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 xml:space="preserve">Wyborca ma prawo cofnięcia udzielonego pełnomocnictwa.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>Cofnięcie pełnomocnictwa następuje przez: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340" w:right="0" w:hanging="34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1) złożenia najpóźniej do do dnia 26 czerwca 2020 r. stosownego oświadczenia Prezydentowi Miasta Tomaszowa Mazowieckiego. W przypadku ponownego głosowania (tzw. II tura), termin złożenia oświadczenia o cofnięciu pełnomocnictwa upływa dnia 10 lipca 2020 r. Oświadczenie należy złożyć w godzinach pracy Urzędu Miasta Tomaszowa Mazowieckiego. 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340" w:right="0" w:hanging="34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>2) doręczenie takiego oświadczenia właściwej obwodowej komisji wyborczej w dniu głosowania    tj. w dniu 28 czerwca 2020 r. w godzinach od 7.00 do 21.00, pod warunkiem, że pełnomocnik jeszcze nie oddał głosu. W przypadku ponownego głosowania (tzw. II tura) oświadczenie takie można złożyć obwodowej komisji wyborczej w dniu głosowania tj. w dniu 12 lipca 2020 r.          w godzinach od 7.00 do 21.00, pod warunkiem, że pełnomocnik jeszcze nie oddał głosu.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340" w:right="0" w:hanging="340"/>
        <w:jc w:val="both"/>
        <w:rPr>
          <w:b/>
          <w:b/>
          <w:bCs/>
        </w:rPr>
      </w:pP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>Wyborca, który udzielił pełnomocnictwa może głosować w lokalu wyborczym, pod warunkiem, że wcześniej nie oddał głosu jego pełnomocnik. Głosowanie osobiste przez wyborcę powoduje wygaśnięcie pełnomocnictwa.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0" w:right="0" w:hanging="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Głosowania przez pełnomocnika nie przeprowadza się w: obwodach głosowania utworzonych </w:t>
        <w:br/>
        <w:t>w szpitalach, domach pomocy społecznej, zakładach karnych, aresztach śledczych i domach studenckich.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0" w:right="0" w:hanging="0"/>
        <w:jc w:val="both"/>
        <w:rPr>
          <w:rFonts w:ascii="Times New Roman" w:hAnsi="Times New Roman"/>
          <w:b/>
          <w:b/>
          <w:bCs/>
          <w:u w:val="none"/>
        </w:rPr>
      </w:pP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>Pełnomocnictwa do głosowania nie może udzielić osoba, która zgłosiła zamiar głosowania korespondencyjnego.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0" w:right="0" w:hanging="0"/>
        <w:jc w:val="both"/>
        <w:rPr>
          <w:rFonts w:eastAsia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eastAsia="Times New Roman" w:cs="Times New Roman"/>
          <w:i w:val="false"/>
          <w:iCs w:val="false"/>
          <w:sz w:val="24"/>
          <w:szCs w:val="24"/>
        </w:rPr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0" w:right="0" w:hanging="0"/>
        <w:jc w:val="both"/>
        <w:rPr>
          <w:rFonts w:eastAsia="Times New Roman" w:cs="Times New Roman"/>
          <w:b/>
          <w:b/>
          <w:bCs/>
          <w:i w:val="false"/>
          <w:i w:val="false"/>
          <w:iCs w:val="false"/>
          <w:sz w:val="24"/>
          <w:szCs w:val="24"/>
          <w:u w:val="none"/>
        </w:rPr>
      </w:pP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0" w:right="0" w:hanging="0"/>
        <w:jc w:val="both"/>
        <w:rPr/>
      </w:pP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 xml:space="preserve">IV.  Głosowanie w wybranym przez siebie lokalu obwodowej komisji wyborczej, </w:t>
        <w:br/>
        <w:t>w tym w lokalu dostosowanym do potrzeb osób niepełnosprawnych.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0" w:right="0" w:hanging="0"/>
        <w:jc w:val="both"/>
        <w:rPr>
          <w:rFonts w:eastAsia="Times New Roman" w:cs="Times New Roman"/>
          <w:b/>
          <w:b/>
          <w:bCs/>
          <w:i w:val="false"/>
          <w:i w:val="false"/>
          <w:iCs w:val="false"/>
          <w:sz w:val="24"/>
          <w:szCs w:val="24"/>
          <w:u w:val="none"/>
        </w:rPr>
      </w:pP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</w:r>
    </w:p>
    <w:p>
      <w:pPr>
        <w:pStyle w:val="Normal"/>
        <w:spacing w:lineRule="auto" w:line="360" w:before="0" w:after="167"/>
        <w:ind w:left="0" w:right="53" w:hanging="10"/>
        <w:rPr/>
      </w:pPr>
      <w:r>
        <w:rPr>
          <w:sz w:val="24"/>
          <w:szCs w:val="24"/>
        </w:rPr>
        <w:t xml:space="preserve">Każdy wyborca, w tym wyborca niepełnosprawny może głosować osobiście w lokalu wyborczym </w:t>
        <w:br/>
        <w:t xml:space="preserve">w obwodzie głosowania właściwym dla jego miejsca zamieszkania. Może także głosować </w:t>
        <w:br/>
        <w:t xml:space="preserve">w wybranym przez siebie lokalu wyborczym, w tym także w lokalu dostosowanym do potrzeb osób niepełnosprawnych. W tym celu powinien on złożyć wniosek o dopisanie do spisu wyborców </w:t>
        <w:br/>
        <w:t xml:space="preserve">w wybranym przez siebie obwodzie głosowania na obszarze Gminy – Miasto Tomaszów Mazowiecki. </w:t>
      </w:r>
    </w:p>
    <w:p>
      <w:pPr>
        <w:pStyle w:val="Normal"/>
        <w:spacing w:lineRule="auto" w:line="360" w:before="0" w:after="256"/>
        <w:ind w:left="0" w:right="50" w:hanging="10"/>
        <w:rPr/>
      </w:pPr>
      <w:r>
        <w:rPr>
          <w:b/>
          <w:sz w:val="24"/>
          <w:szCs w:val="24"/>
        </w:rPr>
        <w:t>Wniosek składa się w Urzędzie Miasta Tomaszowa Mazowieckiego najpóźniej</w:t>
      </w:r>
      <w:r>
        <w:rPr>
          <w:sz w:val="24"/>
          <w:szCs w:val="24"/>
        </w:rPr>
        <w:t xml:space="preserve"> </w:t>
        <w:br/>
      </w:r>
      <w:r>
        <w:rPr>
          <w:b/>
          <w:sz w:val="24"/>
          <w:szCs w:val="24"/>
        </w:rPr>
        <w:t>w 5. dniu przed dniem wyborów tj. do dnia 23 czerwca 2020 r. w pokoju 13 (budynek A, parter) lub elektronicznie za pośrednictwem platformy ePUAP.</w:t>
      </w:r>
    </w:p>
    <w:p>
      <w:pPr>
        <w:pStyle w:val="Normal"/>
        <w:spacing w:lineRule="auto" w:line="360" w:before="0" w:after="256"/>
        <w:ind w:left="0" w:right="50" w:hanging="10"/>
        <w:rPr/>
      </w:pPr>
      <w:r>
        <w:rPr>
          <w:b w:val="false"/>
          <w:bCs w:val="false"/>
          <w:sz w:val="24"/>
          <w:szCs w:val="24"/>
        </w:rPr>
        <w:t xml:space="preserve">Wniosek dotyczy również ewentualnego ponownego głosowania. W przypadku przeprowadzania ponownego głosowania wyborca, który nie złożył wniosku o dopisanie do spisu wyborców w wybranym przez siebie obwodzie głosowania właściwym ze względu na miejsce stałego zamieszkania przed  pierwszym głosowaniem, może po dniu pierwszego głosowania zgłosić taki wniosek dotyczący ponownego głosowania, najpóźniej w 5. dniu przed tym głosowaniem tj. do dnia </w:t>
      </w:r>
      <w:r>
        <w:rPr>
          <w:b/>
          <w:bCs/>
          <w:sz w:val="24"/>
          <w:szCs w:val="24"/>
        </w:rPr>
        <w:t xml:space="preserve">7 lipca 2020 r. </w:t>
      </w:r>
      <w:r>
        <w:rPr>
          <w:b w:val="false"/>
          <w:bCs w:val="false"/>
          <w:sz w:val="24"/>
          <w:szCs w:val="24"/>
        </w:rPr>
        <w:t xml:space="preserve"> </w:t>
      </w:r>
    </w:p>
    <w:p>
      <w:pPr>
        <w:pStyle w:val="Normal"/>
        <w:spacing w:lineRule="auto" w:line="360" w:before="0" w:after="256"/>
        <w:ind w:left="0" w:right="50" w:hanging="10"/>
        <w:rPr/>
      </w:pPr>
      <w:r>
        <w:rPr>
          <w:sz w:val="24"/>
          <w:szCs w:val="24"/>
        </w:rPr>
        <w:t xml:space="preserve">Po złożeniu powyższego wniosku wyborca zostanie skreślony ze spisu wyborców   </w:t>
        <w:br/>
        <w:t xml:space="preserve"> w obwodzie właściwym dla miejsca stałego zamieszkania.</w:t>
      </w:r>
      <w:r>
        <w:rPr>
          <w:b/>
          <w:sz w:val="24"/>
          <w:szCs w:val="24"/>
        </w:rPr>
        <w:t xml:space="preserve"> </w:t>
      </w:r>
    </w:p>
    <w:p>
      <w:pPr>
        <w:pStyle w:val="Normal"/>
        <w:spacing w:lineRule="auto" w:line="360" w:before="0" w:after="143"/>
        <w:ind w:left="0" w:right="50" w:hanging="10"/>
        <w:rPr/>
      </w:pPr>
      <w:r>
        <w:rPr>
          <w:b/>
          <w:sz w:val="24"/>
          <w:szCs w:val="24"/>
        </w:rPr>
        <w:t>Informacja o lokalach obwodowych komisji wyborczych dostosowanych do potrzeb osób niepełnosprawnych</w:t>
      </w:r>
      <w:r>
        <w:rPr>
          <w:sz w:val="24"/>
          <w:szCs w:val="24"/>
        </w:rPr>
        <w:t xml:space="preserve"> dostępna jest w Biuletynie Informacji Publicznej Urzędu Miasta Tomaszowa Mazowieckiego oraz w obwieszczeniu Prezydenta Miasta Tomaszowa Mazowieckiego o numerach </w:t>
        <w:br/>
        <w:t xml:space="preserve">i granicach obwodów głosowania, najpóźniej </w:t>
      </w:r>
      <w:r>
        <w:rPr>
          <w:b/>
          <w:sz w:val="24"/>
          <w:szCs w:val="24"/>
          <w:u w:val="single"/>
        </w:rPr>
        <w:t xml:space="preserve">w dniu 12 czerwca 2020 r. </w:t>
      </w:r>
    </w:p>
    <w:p>
      <w:pPr>
        <w:pStyle w:val="Normal"/>
        <w:spacing w:lineRule="auto" w:line="463" w:before="0" w:after="75"/>
        <w:ind w:left="552" w:right="50" w:hanging="566"/>
        <w:rPr>
          <w:b/>
          <w:b/>
        </w:rPr>
      </w:pPr>
      <w:r>
        <w:rPr>
          <w:b/>
        </w:rPr>
      </w:r>
    </w:p>
    <w:p>
      <w:pPr>
        <w:pStyle w:val="Normal"/>
        <w:spacing w:lineRule="auto" w:line="360" w:before="0" w:after="75"/>
        <w:ind w:left="552" w:right="50" w:hanging="566"/>
        <w:rPr/>
      </w:pPr>
      <w:r>
        <w:rPr>
          <w:b/>
          <w:sz w:val="24"/>
          <w:szCs w:val="24"/>
        </w:rPr>
        <w:t>V.</w:t>
      </w:r>
      <w:r>
        <w:rPr>
          <w:rFonts w:eastAsia="Arial" w:cs="Arial"/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Głosowanie w lokalu wyborczym przy użyciu nakładki na kartę do głosowania sporządzonej w alfabecie Braille'a</w:t>
      </w:r>
    </w:p>
    <w:p>
      <w:pPr>
        <w:pStyle w:val="Normal"/>
        <w:spacing w:lineRule="auto" w:line="360" w:before="0" w:after="75"/>
        <w:ind w:left="552" w:right="50" w:hanging="566"/>
        <w:rPr>
          <w:rFonts w:ascii="Times New Roman" w:hAnsi="Times New Roman"/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360"/>
        <w:ind w:left="0" w:right="53" w:hanging="1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W lokalu wyborczym wyborca niepełnosprawny może także głosować przy użyciu nakładki na kartę do głosowania sporządzonej w alfabecie Braille'a. </w:t>
      </w:r>
    </w:p>
    <w:p>
      <w:pPr>
        <w:pStyle w:val="Normal"/>
        <w:spacing w:lineRule="auto" w:line="360" w:before="0" w:after="181"/>
        <w:ind w:left="0" w:right="53" w:hanging="1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W dniu wyborów obwodowa komisja wyborcza wraz z kartą do głosowania wyda wyborcy niepełnosprawnemu, na jego prośbę, nakładkę na tę kartę. Po oddaniu głosu wyborca obowiązany jest zwrócić komisji obwodowej nakładkę na kartę. </w:t>
      </w:r>
    </w:p>
    <w:p>
      <w:pPr>
        <w:pStyle w:val="Normal"/>
        <w:spacing w:lineRule="auto" w:line="360" w:before="0" w:after="269"/>
        <w:ind w:left="0" w:right="50" w:hanging="10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360" w:before="0" w:after="269"/>
        <w:ind w:left="0" w:right="50" w:hanging="10"/>
        <w:rPr/>
      </w:pPr>
      <w:r>
        <w:rPr>
          <w:b/>
          <w:sz w:val="24"/>
          <w:szCs w:val="24"/>
        </w:rPr>
        <w:t>VI.</w:t>
      </w:r>
      <w:r>
        <w:rPr>
          <w:rFonts w:eastAsia="Arial" w:cs="Arial"/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Korzystanie z pomocy innej osoby w trakcie głosowania w lokalu wyborczym </w:t>
      </w:r>
    </w:p>
    <w:p>
      <w:pPr>
        <w:pStyle w:val="Normal"/>
        <w:spacing w:lineRule="auto" w:line="360"/>
        <w:ind w:left="0" w:right="53" w:hanging="1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Wyborcy niepełnosprawnemu, na jego prośbę, może pomagać w głosowaniu w lokalu wyborczym inna osoba, w tym także niepełnoletnia. Pomoc ta może mieć tylko techniczny charakter; nie może ona polegać na sugerowaniu wyborcy sposobu głosowania lub na głosowaniu w zastępstwie tego wyborcy. Dopuszczalne jest, aby na życzenie wyborcy niepełnosprawnego w pomieszczeniu za zasłoną przebywała osoba udzielająca pomocy. Osobą tą nie może być członek komisji, mąż zaufania, ani obserwator społeczny. </w:t>
      </w:r>
    </w:p>
    <w:p>
      <w:pPr>
        <w:pStyle w:val="Normal"/>
        <w:spacing w:lineRule="auto" w:line="360"/>
        <w:ind w:left="0" w:right="53" w:hanging="10"/>
        <w:rPr/>
      </w:pPr>
      <w:r>
        <w:rPr>
          <w:sz w:val="24"/>
          <w:szCs w:val="24"/>
        </w:rPr>
        <w:t xml:space="preserve">Natomiast komisja jest obowiązana, na prośbę wyborcy niepełnosprawnego, do przekazania ustnie treści obwieszczeń wyborczych w zakresie informacji o komitetach wyborczych biorących udział </w:t>
        <w:br/>
        <w:t xml:space="preserve">w wyborach oraz zarejestrowanych kandydatach i listach kandydatów. </w:t>
      </w:r>
    </w:p>
    <w:p>
      <w:pPr>
        <w:pStyle w:val="Normal"/>
        <w:spacing w:lineRule="auto" w:line="360"/>
        <w:ind w:left="0" w:right="53" w:hanging="1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/>
        <w:ind w:left="0" w:right="53" w:hanging="1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/>
        <w:ind w:left="0" w:right="53" w:hanging="1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/>
        <w:ind w:left="0" w:right="53" w:hanging="1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/>
        <w:ind w:left="0" w:right="53" w:hanging="1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/>
        <w:ind w:left="0" w:right="53" w:hanging="1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/>
        <w:ind w:left="0" w:right="53" w:hanging="1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/>
        <w:ind w:left="0" w:right="53" w:hanging="1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98"/>
        <w:ind w:left="0" w:right="53" w:hanging="10"/>
        <w:rPr/>
      </w:pPr>
      <w:r>
        <w:rPr>
          <w:b/>
          <w:bCs/>
          <w:sz w:val="24"/>
          <w:szCs w:val="24"/>
        </w:rPr>
        <w:tab/>
        <w:tab/>
        <w:tab/>
        <w:tab/>
        <w:tab/>
        <w:tab/>
        <w:tab/>
        <w:tab/>
        <w:t>Prezydent Miasta Tomaszowa Mazowieckiego</w:t>
        <w:tab/>
        <w:tab/>
        <w:tab/>
        <w:tab/>
        <w:tab/>
        <w:tab/>
        <w:tab/>
        <w:tab/>
        <w:tab/>
        <w:t xml:space="preserve">(-) </w:t>
      </w:r>
      <w:r>
        <w:rPr>
          <w:b/>
          <w:bCs/>
          <w:i/>
          <w:iCs/>
          <w:sz w:val="24"/>
          <w:szCs w:val="24"/>
        </w:rPr>
        <w:t>Marcin Witko</w:t>
      </w:r>
    </w:p>
    <w:sectPr>
      <w:headerReference w:type="default" r:id="rId3"/>
      <w:type w:val="nextPage"/>
      <w:pgSz w:w="11906" w:h="16838"/>
      <w:pgMar w:left="1077" w:right="1070" w:header="708" w:top="765" w:footer="0" w:bottom="907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160"/>
      <w:ind w:left="0" w:hanging="0"/>
      <w:jc w:val="left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false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391" w:before="0" w:after="98"/>
      <w:ind w:left="10" w:hanging="10"/>
      <w:jc w:val="both"/>
    </w:pPr>
    <w:rPr>
      <w:rFonts w:ascii="Times New Roman" w:hAnsi="Times New Roman" w:eastAsia="Times New Roman" w:cs="Times New Roman"/>
      <w:color w:val="000000"/>
      <w:kern w:val="0"/>
      <w:sz w:val="26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ascii="Arial" w:hAnsi="Arial" w:eastAsia="Times New Roman" w:cs="Times New Roman"/>
      <w:i w:val="false"/>
      <w:color w:val="000000"/>
      <w:position w:val="0"/>
      <w:sz w:val="26"/>
      <w:sz w:val="26"/>
      <w:szCs w:val="26"/>
      <w:shd w:fill="FFFFFF" w:val="clear"/>
      <w:vertAlign w:val="baseline"/>
    </w:rPr>
  </w:style>
  <w:style w:type="character" w:styleId="ListLabel2">
    <w:name w:val="ListLabel 2"/>
    <w:qFormat/>
    <w:rPr>
      <w:rFonts w:eastAsia="Arial" w:cs="Arial"/>
      <w:i w:val="false"/>
      <w:color w:val="000000"/>
      <w:position w:val="0"/>
      <w:sz w:val="26"/>
      <w:sz w:val="26"/>
      <w:szCs w:val="26"/>
      <w:shd w:fill="FFFFFF" w:val="clear"/>
      <w:vertAlign w:val="baseline"/>
    </w:rPr>
  </w:style>
  <w:style w:type="character" w:styleId="ListLabel3">
    <w:name w:val="ListLabel 3"/>
    <w:qFormat/>
    <w:rPr>
      <w:rFonts w:ascii="Arial" w:hAnsi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4">
    <w:name w:val="ListLabel 4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5">
    <w:name w:val="ListLabel 5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6">
    <w:name w:val="ListLabel 6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7">
    <w:name w:val="ListLabel 7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8">
    <w:name w:val="ListLabel 8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9">
    <w:name w:val="ListLabel 9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0">
    <w:name w:val="ListLabel 10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1">
    <w:name w:val="ListLabel 11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2">
    <w:name w:val="ListLabel 12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3">
    <w:name w:val="ListLabel 13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4">
    <w:name w:val="ListLabel 14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5">
    <w:name w:val="ListLabel 1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6">
    <w:name w:val="ListLabel 1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7">
    <w:name w:val="ListLabel 1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8">
    <w:name w:val="ListLabel 1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9">
    <w:name w:val="ListLabel 1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0">
    <w:name w:val="ListLabel 2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1">
    <w:name w:val="ListLabel 2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2">
    <w:name w:val="ListLabel 2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3">
    <w:name w:val="ListLabel 2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4">
    <w:name w:val="ListLabel 2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5">
    <w:name w:val="ListLabel 2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6">
    <w:name w:val="ListLabel 2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7">
    <w:name w:val="ListLabel 2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8">
    <w:name w:val="ListLabel 2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9">
    <w:name w:val="ListLabel 2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0">
    <w:name w:val="ListLabel 3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1">
    <w:name w:val="ListLabel 3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2">
    <w:name w:val="ListLabel 3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3">
    <w:name w:val="ListLabel 3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4">
    <w:name w:val="ListLabel 3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5">
    <w:name w:val="ListLabel 3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6">
    <w:name w:val="ListLabel 3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7">
    <w:name w:val="ListLabel 3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8">
    <w:name w:val="ListLabel 3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9">
    <w:name w:val="ListLabel 3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0">
    <w:name w:val="ListLabel 4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1">
    <w:name w:val="ListLabel 4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2">
    <w:name w:val="ListLabel 4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3">
    <w:name w:val="ListLabel 4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4">
    <w:name w:val="ListLabel 4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5">
    <w:name w:val="ListLabel 4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6">
    <w:name w:val="ListLabel 4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7">
    <w:name w:val="ListLabel 4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8">
    <w:name w:val="ListLabel 4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9">
    <w:name w:val="ListLabel 4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0">
    <w:name w:val="ListLabel 5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1">
    <w:name w:val="ListLabel 5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2">
    <w:name w:val="ListLabel 5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3">
    <w:name w:val="ListLabel 5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4">
    <w:name w:val="ListLabel 5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5">
    <w:name w:val="ListLabel 5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6">
    <w:name w:val="ListLabel 5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7">
    <w:name w:val="ListLabel 5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8">
    <w:name w:val="ListLabel 5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9">
    <w:name w:val="ListLabel 5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0">
    <w:name w:val="ListLabel 6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1">
    <w:name w:val="ListLabel 6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2">
    <w:name w:val="ListLabel 6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3">
    <w:name w:val="ListLabel 6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4">
    <w:name w:val="ListLabel 6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5">
    <w:name w:val="ListLabel 6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6">
    <w:name w:val="ListLabel 6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7">
    <w:name w:val="ListLabel 6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8">
    <w:name w:val="ListLabel 6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9">
    <w:name w:val="ListLabel 69"/>
    <w:qFormat/>
    <w:rPr>
      <w:rFonts w:cs="Arial"/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0">
    <w:name w:val="ListLabel 7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1">
    <w:name w:val="ListLabel 7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2">
    <w:name w:val="ListLabel 7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3">
    <w:name w:val="ListLabel 7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4">
    <w:name w:val="ListLabel 7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5">
    <w:name w:val="ListLabel 7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6">
    <w:name w:val="ListLabel 7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7">
    <w:name w:val="ListLabel 7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character" w:styleId="ListLabel78">
    <w:name w:val="ListLabel 78"/>
    <w:qFormat/>
    <w:rPr>
      <w:rFonts w:eastAsia="Times New Roman" w:cs="Times New Roman"/>
      <w:b w:val="false"/>
      <w:bCs w:val="false"/>
      <w:sz w:val="24"/>
      <w:szCs w:val="24"/>
    </w:rPr>
  </w:style>
  <w:style w:type="character" w:styleId="ListLabel79">
    <w:name w:val="ListLabel 79"/>
    <w:qFormat/>
    <w:rPr>
      <w:rFonts w:ascii="Times New Roman" w:hAnsi="Times New Roman" w:eastAsia="Times New Roman" w:cs="Times New Roman"/>
      <w:b w:val="false"/>
      <w:bCs w:val="false"/>
      <w:sz w:val="24"/>
      <w:szCs w:val="24"/>
    </w:rPr>
  </w:style>
  <w:style w:type="character" w:styleId="ListLabel80">
    <w:name w:val="ListLabel 80"/>
    <w:qFormat/>
    <w:rPr>
      <w:rFonts w:eastAsia="Times New Roman" w:cs="Times New Roman"/>
      <w:b w:val="false"/>
      <w:bCs w:val="false"/>
      <w:sz w:val="24"/>
      <w:szCs w:val="24"/>
    </w:rPr>
  </w:style>
  <w:style w:type="character" w:styleId="ListLabel81">
    <w:name w:val="ListLabel 81"/>
    <w:qFormat/>
    <w:rPr>
      <w:rFonts w:eastAsia="Times New Roman" w:cs="Times New Roman"/>
      <w:b w:val="false"/>
      <w:bCs w:val="false"/>
      <w:sz w:val="24"/>
      <w:szCs w:val="24"/>
    </w:rPr>
  </w:style>
  <w:style w:type="character" w:styleId="ListLabel82">
    <w:name w:val="ListLabel 82"/>
    <w:qFormat/>
    <w:rPr>
      <w:b w:val="false"/>
      <w:bCs w:val="false"/>
      <w:sz w:val="24"/>
      <w:szCs w:val="24"/>
    </w:rPr>
  </w:style>
  <w:style w:type="character" w:styleId="ListLabel83">
    <w:name w:val="ListLabel 83"/>
    <w:qFormat/>
    <w:rPr>
      <w:rFonts w:eastAsia="Times New Roman" w:cs="Times New Roman"/>
      <w:b w:val="false"/>
      <w:bCs w:val="false"/>
      <w:i w:val="false"/>
      <w:iCs w:val="false"/>
      <w:sz w:val="24"/>
      <w:szCs w:val="24"/>
    </w:rPr>
  </w:style>
  <w:style w:type="character" w:styleId="ListLabel84">
    <w:name w:val="ListLabel 84"/>
    <w:qFormat/>
    <w:rPr>
      <w:rFonts w:eastAsia="Times New Roman" w:cs="Times New Roman"/>
      <w:b w:val="false"/>
      <w:bCs w:val="false"/>
      <w:sz w:val="24"/>
      <w:szCs w:val="24"/>
    </w:rPr>
  </w:style>
  <w:style w:type="character" w:styleId="ListLabel85">
    <w:name w:val="ListLabel 85"/>
    <w:qFormat/>
    <w:rPr>
      <w:b w:val="false"/>
      <w:bCs w:val="false"/>
      <w:sz w:val="24"/>
      <w:szCs w:val="24"/>
    </w:rPr>
  </w:style>
  <w:style w:type="character" w:styleId="ListLabel86">
    <w:name w:val="ListLabel 86"/>
    <w:qFormat/>
    <w:rPr>
      <w:rFonts w:eastAsia="Times New Roman" w:cs="Times New Roman"/>
      <w:b w:val="false"/>
      <w:bCs w:val="false"/>
      <w:i w:val="false"/>
      <w:iCs w:val="false"/>
      <w:sz w:val="24"/>
      <w:szCs w:val="24"/>
    </w:rPr>
  </w:style>
  <w:style w:type="character" w:styleId="ListLabel87">
    <w:name w:val="ListLabel 87"/>
    <w:qFormat/>
    <w:rPr>
      <w:rFonts w:eastAsia="Times New Roman" w:cs="Times New Roman"/>
      <w:b w:val="false"/>
      <w:bCs w:val="false"/>
      <w:sz w:val="24"/>
      <w:szCs w:val="24"/>
    </w:rPr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character" w:styleId="ListLabel88">
    <w:name w:val="ListLabel 88"/>
    <w:qFormat/>
    <w:rPr>
      <w:rFonts w:ascii="Times New Roman" w:hAnsi="Times New Roman" w:cs="OpenSymbol"/>
      <w:b w:val="false"/>
    </w:rPr>
  </w:style>
  <w:style w:type="character" w:styleId="ListLabel89">
    <w:name w:val="ListLabel 89"/>
    <w:qFormat/>
    <w:rPr>
      <w:rFonts w:cs="OpenSymbol"/>
    </w:rPr>
  </w:style>
  <w:style w:type="character" w:styleId="ListLabel90">
    <w:name w:val="ListLabel 90"/>
    <w:qFormat/>
    <w:rPr>
      <w:rFonts w:cs="OpenSymbol"/>
    </w:rPr>
  </w:style>
  <w:style w:type="character" w:styleId="ListLabel91">
    <w:name w:val="ListLabel 91"/>
    <w:qFormat/>
    <w:rPr>
      <w:rFonts w:cs="OpenSymbol"/>
    </w:rPr>
  </w:style>
  <w:style w:type="character" w:styleId="ListLabel92">
    <w:name w:val="ListLabel 92"/>
    <w:qFormat/>
    <w:rPr>
      <w:rFonts w:cs="OpenSymbol"/>
    </w:rPr>
  </w:style>
  <w:style w:type="character" w:styleId="ListLabel93">
    <w:name w:val="ListLabel 93"/>
    <w:qFormat/>
    <w:rPr>
      <w:rFonts w:cs="OpenSymbol"/>
    </w:rPr>
  </w:style>
  <w:style w:type="character" w:styleId="ListLabel94">
    <w:name w:val="ListLabel 94"/>
    <w:qFormat/>
    <w:rPr>
      <w:rFonts w:cs="OpenSymbol"/>
    </w:rPr>
  </w:style>
  <w:style w:type="character" w:styleId="ListLabel95">
    <w:name w:val="ListLabel 95"/>
    <w:qFormat/>
    <w:rPr>
      <w:rFonts w:cs="OpenSymbol"/>
    </w:rPr>
  </w:style>
  <w:style w:type="character" w:styleId="ListLabel96">
    <w:name w:val="ListLabel 96"/>
    <w:qFormat/>
    <w:rPr>
      <w:rFonts w:cs="OpenSymbol"/>
    </w:rPr>
  </w:style>
  <w:style w:type="character" w:styleId="ListLabel97">
    <w:name w:val="ListLabel 97"/>
    <w:qFormat/>
    <w:rPr>
      <w:rFonts w:ascii="Times New Roman" w:hAnsi="Times New Roman"/>
      <w:b w:val="false"/>
      <w:bCs w:val="false"/>
      <w:sz w:val="24"/>
      <w:szCs w:val="24"/>
    </w:rPr>
  </w:style>
  <w:style w:type="character" w:styleId="ListLabel98">
    <w:name w:val="ListLabel 98"/>
    <w:qFormat/>
    <w:rPr>
      <w:rFonts w:ascii="Times New Roman" w:hAnsi="Times New Roman" w:eastAsia="Times New Roman" w:cs="Times New Roman"/>
      <w:b w:val="false"/>
      <w:bCs w:val="false"/>
      <w:i w:val="false"/>
      <w:iCs w:val="false"/>
      <w:sz w:val="24"/>
      <w:szCs w:val="24"/>
    </w:rPr>
  </w:style>
  <w:style w:type="character" w:styleId="ListLabel99">
    <w:name w:val="ListLabel 99"/>
    <w:qFormat/>
    <w:rPr>
      <w:rFonts w:ascii="Times New Roman" w:hAnsi="Times New Roman" w:cs="OpenSymbol"/>
      <w:b w:val="false"/>
    </w:rPr>
  </w:style>
  <w:style w:type="character" w:styleId="ListLabel100">
    <w:name w:val="ListLabel 100"/>
    <w:qFormat/>
    <w:rPr>
      <w:rFonts w:cs="OpenSymbol"/>
    </w:rPr>
  </w:style>
  <w:style w:type="character" w:styleId="ListLabel101">
    <w:name w:val="ListLabel 101"/>
    <w:qFormat/>
    <w:rPr>
      <w:rFonts w:cs="OpenSymbol"/>
    </w:rPr>
  </w:style>
  <w:style w:type="character" w:styleId="ListLabel102">
    <w:name w:val="ListLabel 102"/>
    <w:qFormat/>
    <w:rPr>
      <w:rFonts w:cs="OpenSymbol"/>
    </w:rPr>
  </w:style>
  <w:style w:type="character" w:styleId="ListLabel103">
    <w:name w:val="ListLabel 103"/>
    <w:qFormat/>
    <w:rPr>
      <w:rFonts w:cs="OpenSymbol"/>
    </w:rPr>
  </w:style>
  <w:style w:type="character" w:styleId="ListLabel104">
    <w:name w:val="ListLabel 104"/>
    <w:qFormat/>
    <w:rPr>
      <w:rFonts w:cs="OpenSymbol"/>
    </w:rPr>
  </w:style>
  <w:style w:type="character" w:styleId="ListLabel105">
    <w:name w:val="ListLabel 105"/>
    <w:qFormat/>
    <w:rPr>
      <w:rFonts w:cs="OpenSymbol"/>
    </w:rPr>
  </w:style>
  <w:style w:type="character" w:styleId="ListLabel106">
    <w:name w:val="ListLabel 106"/>
    <w:qFormat/>
    <w:rPr>
      <w:rFonts w:cs="OpenSymbol"/>
    </w:rPr>
  </w:style>
  <w:style w:type="character" w:styleId="ListLabel107">
    <w:name w:val="ListLabel 107"/>
    <w:qFormat/>
    <w:rPr>
      <w:rFonts w:cs="OpenSymbol"/>
    </w:rPr>
  </w:style>
  <w:style w:type="character" w:styleId="ListLabel108">
    <w:name w:val="ListLabel 108"/>
    <w:qFormat/>
    <w:rPr>
      <w:b w:val="false"/>
      <w:bCs w:val="false"/>
      <w:sz w:val="24"/>
      <w:szCs w:val="24"/>
    </w:rPr>
  </w:style>
  <w:style w:type="character" w:styleId="ListLabel109">
    <w:name w:val="ListLabel 109"/>
    <w:qFormat/>
    <w:rPr>
      <w:rFonts w:eastAsia="Times New Roman" w:cs="Times New Roman"/>
      <w:b w:val="false"/>
      <w:bCs w:val="false"/>
      <w:i w:val="false"/>
      <w:iCs w:val="false"/>
      <w:sz w:val="24"/>
      <w:szCs w:val="24"/>
    </w:rPr>
  </w:style>
  <w:style w:type="character" w:styleId="ListLabel110">
    <w:name w:val="ListLabel 110"/>
    <w:qFormat/>
    <w:rPr>
      <w:rFonts w:ascii="Times New Roman" w:hAnsi="Times New Roman" w:cs="OpenSymbol"/>
      <w:b w:val="false"/>
    </w:rPr>
  </w:style>
  <w:style w:type="character" w:styleId="ListLabel111">
    <w:name w:val="ListLabel 111"/>
    <w:qFormat/>
    <w:rPr>
      <w:rFonts w:cs="OpenSymbol"/>
    </w:rPr>
  </w:style>
  <w:style w:type="character" w:styleId="ListLabel112">
    <w:name w:val="ListLabel 112"/>
    <w:qFormat/>
    <w:rPr>
      <w:rFonts w:cs="OpenSymbol"/>
    </w:rPr>
  </w:style>
  <w:style w:type="character" w:styleId="ListLabel113">
    <w:name w:val="ListLabel 113"/>
    <w:qFormat/>
    <w:rPr>
      <w:rFonts w:cs="OpenSymbol"/>
    </w:rPr>
  </w:style>
  <w:style w:type="character" w:styleId="ListLabel114">
    <w:name w:val="ListLabel 114"/>
    <w:qFormat/>
    <w:rPr>
      <w:rFonts w:cs="OpenSymbol"/>
    </w:rPr>
  </w:style>
  <w:style w:type="character" w:styleId="ListLabel115">
    <w:name w:val="ListLabel 115"/>
    <w:qFormat/>
    <w:rPr>
      <w:rFonts w:cs="OpenSymbol"/>
    </w:rPr>
  </w:style>
  <w:style w:type="character" w:styleId="ListLabel116">
    <w:name w:val="ListLabel 116"/>
    <w:qFormat/>
    <w:rPr>
      <w:rFonts w:cs="OpenSymbol"/>
    </w:rPr>
  </w:style>
  <w:style w:type="character" w:styleId="ListLabel117">
    <w:name w:val="ListLabel 117"/>
    <w:qFormat/>
    <w:rPr>
      <w:rFonts w:cs="OpenSymbol"/>
    </w:rPr>
  </w:style>
  <w:style w:type="character" w:styleId="ListLabel118">
    <w:name w:val="ListLabel 118"/>
    <w:qFormat/>
    <w:rPr>
      <w:rFonts w:cs="OpenSymbol"/>
    </w:rPr>
  </w:style>
  <w:style w:type="character" w:styleId="ListLabel119">
    <w:name w:val="ListLabel 119"/>
    <w:qFormat/>
    <w:rPr>
      <w:b w:val="false"/>
      <w:bCs w:val="false"/>
      <w:sz w:val="24"/>
      <w:szCs w:val="24"/>
    </w:rPr>
  </w:style>
  <w:style w:type="character" w:styleId="ListLabel120">
    <w:name w:val="ListLabel 120"/>
    <w:qFormat/>
    <w:rPr>
      <w:rFonts w:eastAsia="Times New Roman" w:cs="Times New Roman"/>
      <w:b w:val="false"/>
      <w:bCs w:val="false"/>
      <w:i w:val="false"/>
      <w:iCs w:val="false"/>
      <w:sz w:val="24"/>
      <w:szCs w:val="24"/>
    </w:rPr>
  </w:style>
  <w:style w:type="character" w:styleId="ListLabel121">
    <w:name w:val="ListLabel 121"/>
    <w:qFormat/>
    <w:rPr>
      <w:rFonts w:ascii="Times New Roman" w:hAnsi="Times New Roman" w:cs="OpenSymbol"/>
      <w:b w:val="false"/>
    </w:rPr>
  </w:style>
  <w:style w:type="character" w:styleId="ListLabel122">
    <w:name w:val="ListLabel 122"/>
    <w:qFormat/>
    <w:rPr>
      <w:rFonts w:cs="OpenSymbol"/>
    </w:rPr>
  </w:style>
  <w:style w:type="character" w:styleId="ListLabel123">
    <w:name w:val="ListLabel 123"/>
    <w:qFormat/>
    <w:rPr>
      <w:rFonts w:cs="OpenSymbol"/>
    </w:rPr>
  </w:style>
  <w:style w:type="character" w:styleId="ListLabel124">
    <w:name w:val="ListLabel 124"/>
    <w:qFormat/>
    <w:rPr>
      <w:rFonts w:cs="OpenSymbol"/>
    </w:rPr>
  </w:style>
  <w:style w:type="character" w:styleId="ListLabel125">
    <w:name w:val="ListLabel 125"/>
    <w:qFormat/>
    <w:rPr>
      <w:rFonts w:cs="OpenSymbol"/>
    </w:rPr>
  </w:style>
  <w:style w:type="character" w:styleId="ListLabel126">
    <w:name w:val="ListLabel 126"/>
    <w:qFormat/>
    <w:rPr>
      <w:rFonts w:cs="OpenSymbol"/>
    </w:rPr>
  </w:style>
  <w:style w:type="character" w:styleId="ListLabel127">
    <w:name w:val="ListLabel 127"/>
    <w:qFormat/>
    <w:rPr>
      <w:rFonts w:cs="OpenSymbol"/>
    </w:rPr>
  </w:style>
  <w:style w:type="character" w:styleId="ListLabel128">
    <w:name w:val="ListLabel 128"/>
    <w:qFormat/>
    <w:rPr>
      <w:rFonts w:cs="OpenSymbol"/>
    </w:rPr>
  </w:style>
  <w:style w:type="character" w:styleId="ListLabel129">
    <w:name w:val="ListLabel 129"/>
    <w:qFormat/>
    <w:rPr>
      <w:rFonts w:cs="OpenSymbol"/>
    </w:rPr>
  </w:style>
  <w:style w:type="character" w:styleId="ListLabel130">
    <w:name w:val="ListLabel 130"/>
    <w:qFormat/>
    <w:rPr>
      <w:b w:val="false"/>
      <w:bCs w:val="false"/>
      <w:sz w:val="24"/>
      <w:szCs w:val="24"/>
    </w:rPr>
  </w:style>
  <w:style w:type="character" w:styleId="ListLabel131">
    <w:name w:val="ListLabel 131"/>
    <w:qFormat/>
    <w:rPr>
      <w:rFonts w:eastAsia="Times New Roman" w:cs="Times New Roman"/>
      <w:b w:val="false"/>
      <w:bCs w:val="false"/>
      <w:i w:val="false"/>
      <w:iCs w:val="false"/>
      <w:sz w:val="24"/>
      <w:szCs w:val="24"/>
    </w:rPr>
  </w:style>
  <w:style w:type="character" w:styleId="ListLabel132">
    <w:name w:val="ListLabel 132"/>
    <w:qFormat/>
    <w:rPr>
      <w:rFonts w:ascii="Times New Roman" w:hAnsi="Times New Roman" w:cs="OpenSymbol"/>
      <w:b w:val="false"/>
    </w:rPr>
  </w:style>
  <w:style w:type="character" w:styleId="ListLabel133">
    <w:name w:val="ListLabel 133"/>
    <w:qFormat/>
    <w:rPr>
      <w:rFonts w:cs="OpenSymbol"/>
    </w:rPr>
  </w:style>
  <w:style w:type="character" w:styleId="ListLabel134">
    <w:name w:val="ListLabel 134"/>
    <w:qFormat/>
    <w:rPr>
      <w:rFonts w:cs="OpenSymbol"/>
    </w:rPr>
  </w:style>
  <w:style w:type="character" w:styleId="ListLabel135">
    <w:name w:val="ListLabel 135"/>
    <w:qFormat/>
    <w:rPr>
      <w:rFonts w:cs="OpenSymbol"/>
    </w:rPr>
  </w:style>
  <w:style w:type="character" w:styleId="ListLabel136">
    <w:name w:val="ListLabel 136"/>
    <w:qFormat/>
    <w:rPr>
      <w:rFonts w:cs="OpenSymbol"/>
    </w:rPr>
  </w:style>
  <w:style w:type="character" w:styleId="ListLabel137">
    <w:name w:val="ListLabel 137"/>
    <w:qFormat/>
    <w:rPr>
      <w:rFonts w:cs="OpenSymbol"/>
    </w:rPr>
  </w:style>
  <w:style w:type="character" w:styleId="ListLabel138">
    <w:name w:val="ListLabel 138"/>
    <w:qFormat/>
    <w:rPr>
      <w:rFonts w:cs="OpenSymbol"/>
    </w:rPr>
  </w:style>
  <w:style w:type="character" w:styleId="ListLabel139">
    <w:name w:val="ListLabel 139"/>
    <w:qFormat/>
    <w:rPr>
      <w:rFonts w:cs="OpenSymbol"/>
    </w:rPr>
  </w:style>
  <w:style w:type="character" w:styleId="ListLabel140">
    <w:name w:val="ListLabel 140"/>
    <w:qFormat/>
    <w:rPr>
      <w:rFonts w:cs="OpenSymbol"/>
    </w:rPr>
  </w:style>
  <w:style w:type="character" w:styleId="ListLabel141">
    <w:name w:val="ListLabel 141"/>
    <w:qFormat/>
    <w:rPr>
      <w:b w:val="false"/>
      <w:bCs w:val="false"/>
      <w:sz w:val="24"/>
      <w:szCs w:val="24"/>
    </w:rPr>
  </w:style>
  <w:style w:type="character" w:styleId="ListLabel142">
    <w:name w:val="ListLabel 142"/>
    <w:qFormat/>
    <w:rPr>
      <w:rFonts w:eastAsia="Times New Roman" w:cs="Times New Roman"/>
      <w:b w:val="false"/>
      <w:bCs w:val="false"/>
      <w:i w:val="false"/>
      <w:iCs w:val="false"/>
      <w:sz w:val="24"/>
      <w:szCs w:val="24"/>
    </w:rPr>
  </w:style>
  <w:style w:type="character" w:styleId="ListLabel143">
    <w:name w:val="ListLabel 143"/>
    <w:qFormat/>
    <w:rPr>
      <w:rFonts w:ascii="Times New Roman" w:hAnsi="Times New Roman" w:cs="OpenSymbol"/>
      <w:b w:val="false"/>
    </w:rPr>
  </w:style>
  <w:style w:type="character" w:styleId="ListLabel144">
    <w:name w:val="ListLabel 144"/>
    <w:qFormat/>
    <w:rPr>
      <w:rFonts w:cs="OpenSymbol"/>
    </w:rPr>
  </w:style>
  <w:style w:type="character" w:styleId="ListLabel145">
    <w:name w:val="ListLabel 145"/>
    <w:qFormat/>
    <w:rPr>
      <w:rFonts w:cs="OpenSymbol"/>
    </w:rPr>
  </w:style>
  <w:style w:type="character" w:styleId="ListLabel146">
    <w:name w:val="ListLabel 146"/>
    <w:qFormat/>
    <w:rPr>
      <w:rFonts w:cs="OpenSymbol"/>
    </w:rPr>
  </w:style>
  <w:style w:type="character" w:styleId="ListLabel147">
    <w:name w:val="ListLabel 147"/>
    <w:qFormat/>
    <w:rPr>
      <w:rFonts w:cs="OpenSymbol"/>
    </w:rPr>
  </w:style>
  <w:style w:type="character" w:styleId="ListLabel148">
    <w:name w:val="ListLabel 148"/>
    <w:qFormat/>
    <w:rPr>
      <w:rFonts w:cs="OpenSymbol"/>
    </w:rPr>
  </w:style>
  <w:style w:type="character" w:styleId="ListLabel149">
    <w:name w:val="ListLabel 149"/>
    <w:qFormat/>
    <w:rPr>
      <w:rFonts w:cs="OpenSymbol"/>
    </w:rPr>
  </w:style>
  <w:style w:type="character" w:styleId="ListLabel150">
    <w:name w:val="ListLabel 150"/>
    <w:qFormat/>
    <w:rPr>
      <w:rFonts w:cs="OpenSymbol"/>
    </w:rPr>
  </w:style>
  <w:style w:type="character" w:styleId="ListLabel151">
    <w:name w:val="ListLabel 151"/>
    <w:qFormat/>
    <w:rPr>
      <w:rFonts w:cs="OpenSymbol"/>
    </w:rPr>
  </w:style>
  <w:style w:type="character" w:styleId="ListLabel152">
    <w:name w:val="ListLabel 152"/>
    <w:qFormat/>
    <w:rPr>
      <w:b w:val="false"/>
      <w:bCs w:val="false"/>
      <w:sz w:val="24"/>
      <w:szCs w:val="24"/>
    </w:rPr>
  </w:style>
  <w:style w:type="character" w:styleId="ListLabel153">
    <w:name w:val="ListLabel 153"/>
    <w:qFormat/>
    <w:rPr>
      <w:rFonts w:eastAsia="Times New Roman" w:cs="Times New Roman"/>
      <w:b w:val="false"/>
      <w:bCs w:val="false"/>
      <w:i w:val="false"/>
      <w:iCs w:val="false"/>
      <w:sz w:val="24"/>
      <w:szCs w:val="24"/>
    </w:rPr>
  </w:style>
  <w:style w:type="character" w:styleId="ListLabel154">
    <w:name w:val="ListLabel 154"/>
    <w:qFormat/>
    <w:rPr>
      <w:rFonts w:ascii="Times New Roman" w:hAnsi="Times New Roman" w:cs="OpenSymbol"/>
      <w:b w:val="false"/>
    </w:rPr>
  </w:style>
  <w:style w:type="character" w:styleId="ListLabel155">
    <w:name w:val="ListLabel 155"/>
    <w:qFormat/>
    <w:rPr>
      <w:rFonts w:cs="OpenSymbol"/>
    </w:rPr>
  </w:style>
  <w:style w:type="character" w:styleId="ListLabel156">
    <w:name w:val="ListLabel 156"/>
    <w:qFormat/>
    <w:rPr>
      <w:rFonts w:cs="OpenSymbol"/>
    </w:rPr>
  </w:style>
  <w:style w:type="character" w:styleId="ListLabel157">
    <w:name w:val="ListLabel 157"/>
    <w:qFormat/>
    <w:rPr>
      <w:rFonts w:cs="OpenSymbol"/>
    </w:rPr>
  </w:style>
  <w:style w:type="character" w:styleId="ListLabel158">
    <w:name w:val="ListLabel 158"/>
    <w:qFormat/>
    <w:rPr>
      <w:rFonts w:cs="OpenSymbol"/>
    </w:rPr>
  </w:style>
  <w:style w:type="character" w:styleId="ListLabel159">
    <w:name w:val="ListLabel 159"/>
    <w:qFormat/>
    <w:rPr>
      <w:rFonts w:cs="OpenSymbol"/>
    </w:rPr>
  </w:style>
  <w:style w:type="character" w:styleId="ListLabel160">
    <w:name w:val="ListLabel 160"/>
    <w:qFormat/>
    <w:rPr>
      <w:rFonts w:cs="OpenSymbol"/>
    </w:rPr>
  </w:style>
  <w:style w:type="character" w:styleId="ListLabel161">
    <w:name w:val="ListLabel 161"/>
    <w:qFormat/>
    <w:rPr>
      <w:rFonts w:cs="OpenSymbol"/>
    </w:rPr>
  </w:style>
  <w:style w:type="character" w:styleId="ListLabel162">
    <w:name w:val="ListLabel 162"/>
    <w:qFormat/>
    <w:rPr>
      <w:rFonts w:cs="OpenSymbol"/>
    </w:rPr>
  </w:style>
  <w:style w:type="character" w:styleId="ListLabel163">
    <w:name w:val="ListLabel 163"/>
    <w:qFormat/>
    <w:rPr>
      <w:b w:val="false"/>
      <w:bCs w:val="false"/>
      <w:sz w:val="24"/>
      <w:szCs w:val="24"/>
    </w:rPr>
  </w:style>
  <w:style w:type="character" w:styleId="ListLabel164">
    <w:name w:val="ListLabel 164"/>
    <w:qFormat/>
    <w:rPr>
      <w:rFonts w:eastAsia="Times New Roman" w:cs="Times New Roman"/>
      <w:b w:val="false"/>
      <w:bCs w:val="false"/>
      <w:i w:val="false"/>
      <w:iCs w:val="false"/>
      <w:sz w:val="24"/>
      <w:szCs w:val="24"/>
    </w:rPr>
  </w:style>
  <w:style w:type="character" w:styleId="ListLabel165">
    <w:name w:val="ListLabel 165"/>
    <w:qFormat/>
    <w:rPr>
      <w:rFonts w:ascii="Times New Roman" w:hAnsi="Times New Roman" w:cs="OpenSymbol"/>
      <w:b w:val="false"/>
    </w:rPr>
  </w:style>
  <w:style w:type="character" w:styleId="ListLabel166">
    <w:name w:val="ListLabel 166"/>
    <w:qFormat/>
    <w:rPr>
      <w:rFonts w:cs="OpenSymbol"/>
    </w:rPr>
  </w:style>
  <w:style w:type="character" w:styleId="ListLabel167">
    <w:name w:val="ListLabel 167"/>
    <w:qFormat/>
    <w:rPr>
      <w:rFonts w:cs="OpenSymbol"/>
    </w:rPr>
  </w:style>
  <w:style w:type="character" w:styleId="ListLabel168">
    <w:name w:val="ListLabel 168"/>
    <w:qFormat/>
    <w:rPr>
      <w:rFonts w:cs="OpenSymbol"/>
    </w:rPr>
  </w:style>
  <w:style w:type="character" w:styleId="ListLabel169">
    <w:name w:val="ListLabel 169"/>
    <w:qFormat/>
    <w:rPr>
      <w:rFonts w:cs="OpenSymbol"/>
    </w:rPr>
  </w:style>
  <w:style w:type="character" w:styleId="ListLabel170">
    <w:name w:val="ListLabel 170"/>
    <w:qFormat/>
    <w:rPr>
      <w:rFonts w:cs="OpenSymbol"/>
    </w:rPr>
  </w:style>
  <w:style w:type="character" w:styleId="ListLabel171">
    <w:name w:val="ListLabel 171"/>
    <w:qFormat/>
    <w:rPr>
      <w:rFonts w:cs="OpenSymbol"/>
    </w:rPr>
  </w:style>
  <w:style w:type="character" w:styleId="ListLabel172">
    <w:name w:val="ListLabel 172"/>
    <w:qFormat/>
    <w:rPr>
      <w:rFonts w:cs="OpenSymbol"/>
    </w:rPr>
  </w:style>
  <w:style w:type="character" w:styleId="ListLabel173">
    <w:name w:val="ListLabel 173"/>
    <w:qFormat/>
    <w:rPr>
      <w:rFonts w:cs="OpenSymbol"/>
    </w:rPr>
  </w:style>
  <w:style w:type="character" w:styleId="ListLabel174">
    <w:name w:val="ListLabel 174"/>
    <w:qFormat/>
    <w:rPr>
      <w:b w:val="false"/>
      <w:bCs w:val="false"/>
      <w:sz w:val="24"/>
      <w:szCs w:val="24"/>
    </w:rPr>
  </w:style>
  <w:style w:type="character" w:styleId="ListLabel175">
    <w:name w:val="ListLabel 175"/>
    <w:qFormat/>
    <w:rPr>
      <w:rFonts w:eastAsia="Times New Roman" w:cs="Times New Roman"/>
      <w:b w:val="false"/>
      <w:bCs w:val="false"/>
      <w:i w:val="false"/>
      <w:iCs w:val="false"/>
      <w:sz w:val="24"/>
      <w:szCs w:val="24"/>
    </w:rPr>
  </w:style>
  <w:style w:type="character" w:styleId="ListLabel176">
    <w:name w:val="ListLabel 176"/>
    <w:qFormat/>
    <w:rPr>
      <w:rFonts w:ascii="Times New Roman" w:hAnsi="Times New Roman" w:cs="OpenSymbol"/>
      <w:b w:val="false"/>
    </w:rPr>
  </w:style>
  <w:style w:type="character" w:styleId="ListLabel177">
    <w:name w:val="ListLabel 177"/>
    <w:qFormat/>
    <w:rPr>
      <w:rFonts w:cs="OpenSymbol"/>
    </w:rPr>
  </w:style>
  <w:style w:type="character" w:styleId="ListLabel178">
    <w:name w:val="ListLabel 178"/>
    <w:qFormat/>
    <w:rPr>
      <w:rFonts w:cs="OpenSymbol"/>
    </w:rPr>
  </w:style>
  <w:style w:type="character" w:styleId="ListLabel179">
    <w:name w:val="ListLabel 179"/>
    <w:qFormat/>
    <w:rPr>
      <w:rFonts w:cs="OpenSymbol"/>
    </w:rPr>
  </w:style>
  <w:style w:type="character" w:styleId="ListLabel180">
    <w:name w:val="ListLabel 180"/>
    <w:qFormat/>
    <w:rPr>
      <w:rFonts w:cs="OpenSymbol"/>
    </w:rPr>
  </w:style>
  <w:style w:type="character" w:styleId="ListLabel181">
    <w:name w:val="ListLabel 181"/>
    <w:qFormat/>
    <w:rPr>
      <w:rFonts w:cs="OpenSymbol"/>
    </w:rPr>
  </w:style>
  <w:style w:type="character" w:styleId="ListLabel182">
    <w:name w:val="ListLabel 182"/>
    <w:qFormat/>
    <w:rPr>
      <w:rFonts w:cs="OpenSymbol"/>
    </w:rPr>
  </w:style>
  <w:style w:type="character" w:styleId="ListLabel183">
    <w:name w:val="ListLabel 183"/>
    <w:qFormat/>
    <w:rPr>
      <w:rFonts w:cs="OpenSymbol"/>
    </w:rPr>
  </w:style>
  <w:style w:type="character" w:styleId="ListLabel184">
    <w:name w:val="ListLabel 184"/>
    <w:qFormat/>
    <w:rPr>
      <w:rFonts w:cs="OpenSymbol"/>
    </w:rPr>
  </w:style>
  <w:style w:type="character" w:styleId="ListLabel185">
    <w:name w:val="ListLabel 185"/>
    <w:qFormat/>
    <w:rPr>
      <w:b w:val="false"/>
      <w:bCs w:val="false"/>
      <w:sz w:val="24"/>
      <w:szCs w:val="24"/>
    </w:rPr>
  </w:style>
  <w:style w:type="character" w:styleId="ListLabel186">
    <w:name w:val="ListLabel 186"/>
    <w:qFormat/>
    <w:rPr>
      <w:rFonts w:eastAsia="Times New Roman" w:cs="Times New Roman"/>
      <w:b w:val="false"/>
      <w:bCs w:val="false"/>
      <w:i w:val="false"/>
      <w:iCs w:val="false"/>
      <w:sz w:val="24"/>
      <w:szCs w:val="24"/>
    </w:rPr>
  </w:style>
  <w:style w:type="character" w:styleId="ListLabel187">
    <w:name w:val="ListLabel 187"/>
    <w:qFormat/>
    <w:rPr>
      <w:rFonts w:ascii="Times New Roman" w:hAnsi="Times New Roman" w:cs="OpenSymbol"/>
      <w:b w:val="false"/>
    </w:rPr>
  </w:style>
  <w:style w:type="character" w:styleId="ListLabel188">
    <w:name w:val="ListLabel 188"/>
    <w:qFormat/>
    <w:rPr>
      <w:rFonts w:cs="OpenSymbol"/>
    </w:rPr>
  </w:style>
  <w:style w:type="character" w:styleId="ListLabel189">
    <w:name w:val="ListLabel 189"/>
    <w:qFormat/>
    <w:rPr>
      <w:rFonts w:cs="OpenSymbol"/>
    </w:rPr>
  </w:style>
  <w:style w:type="character" w:styleId="ListLabel190">
    <w:name w:val="ListLabel 190"/>
    <w:qFormat/>
    <w:rPr>
      <w:rFonts w:cs="OpenSymbol"/>
    </w:rPr>
  </w:style>
  <w:style w:type="character" w:styleId="ListLabel191">
    <w:name w:val="ListLabel 191"/>
    <w:qFormat/>
    <w:rPr>
      <w:rFonts w:cs="OpenSymbol"/>
    </w:rPr>
  </w:style>
  <w:style w:type="character" w:styleId="ListLabel192">
    <w:name w:val="ListLabel 192"/>
    <w:qFormat/>
    <w:rPr>
      <w:rFonts w:cs="OpenSymbol"/>
    </w:rPr>
  </w:style>
  <w:style w:type="character" w:styleId="ListLabel193">
    <w:name w:val="ListLabel 193"/>
    <w:qFormat/>
    <w:rPr>
      <w:rFonts w:cs="OpenSymbol"/>
    </w:rPr>
  </w:style>
  <w:style w:type="character" w:styleId="ListLabel194">
    <w:name w:val="ListLabel 194"/>
    <w:qFormat/>
    <w:rPr>
      <w:rFonts w:cs="OpenSymbol"/>
    </w:rPr>
  </w:style>
  <w:style w:type="character" w:styleId="ListLabel195">
    <w:name w:val="ListLabel 195"/>
    <w:qFormat/>
    <w:rPr>
      <w:rFonts w:cs="OpenSymbol"/>
    </w:rPr>
  </w:style>
  <w:style w:type="character" w:styleId="ListLabel196">
    <w:name w:val="ListLabel 196"/>
    <w:qFormat/>
    <w:rPr>
      <w:b w:val="false"/>
      <w:bCs w:val="false"/>
      <w:sz w:val="24"/>
      <w:szCs w:val="24"/>
    </w:rPr>
  </w:style>
  <w:style w:type="character" w:styleId="ListLabel197">
    <w:name w:val="ListLabel 197"/>
    <w:qFormat/>
    <w:rPr>
      <w:rFonts w:eastAsia="Times New Roman" w:cs="Times New Roman"/>
      <w:b w:val="false"/>
      <w:bCs w:val="false"/>
      <w:i w:val="false"/>
      <w:iCs w:val="false"/>
      <w:sz w:val="24"/>
      <w:szCs w:val="24"/>
    </w:rPr>
  </w:style>
  <w:style w:type="character" w:styleId="ListLabel198">
    <w:name w:val="ListLabel 198"/>
    <w:qFormat/>
    <w:rPr>
      <w:rFonts w:ascii="Times New Roman" w:hAnsi="Times New Roman" w:cs="OpenSymbol"/>
      <w:b w:val="false"/>
    </w:rPr>
  </w:style>
  <w:style w:type="character" w:styleId="ListLabel199">
    <w:name w:val="ListLabel 199"/>
    <w:qFormat/>
    <w:rPr>
      <w:rFonts w:cs="OpenSymbol"/>
    </w:rPr>
  </w:style>
  <w:style w:type="character" w:styleId="ListLabel200">
    <w:name w:val="ListLabel 200"/>
    <w:qFormat/>
    <w:rPr>
      <w:rFonts w:cs="OpenSymbol"/>
    </w:rPr>
  </w:style>
  <w:style w:type="character" w:styleId="ListLabel201">
    <w:name w:val="ListLabel 201"/>
    <w:qFormat/>
    <w:rPr>
      <w:rFonts w:cs="OpenSymbol"/>
    </w:rPr>
  </w:style>
  <w:style w:type="character" w:styleId="ListLabel202">
    <w:name w:val="ListLabel 202"/>
    <w:qFormat/>
    <w:rPr>
      <w:rFonts w:cs="OpenSymbol"/>
    </w:rPr>
  </w:style>
  <w:style w:type="character" w:styleId="ListLabel203">
    <w:name w:val="ListLabel 203"/>
    <w:qFormat/>
    <w:rPr>
      <w:rFonts w:cs="OpenSymbol"/>
    </w:rPr>
  </w:style>
  <w:style w:type="character" w:styleId="ListLabel204">
    <w:name w:val="ListLabel 204"/>
    <w:qFormat/>
    <w:rPr>
      <w:rFonts w:cs="OpenSymbol"/>
    </w:rPr>
  </w:style>
  <w:style w:type="character" w:styleId="ListLabel205">
    <w:name w:val="ListLabel 205"/>
    <w:qFormat/>
    <w:rPr>
      <w:rFonts w:cs="OpenSymbol"/>
    </w:rPr>
  </w:style>
  <w:style w:type="character" w:styleId="ListLabel206">
    <w:name w:val="ListLabel 206"/>
    <w:qFormat/>
    <w:rPr>
      <w:rFonts w:cs="OpenSymbol"/>
    </w:rPr>
  </w:style>
  <w:style w:type="character" w:styleId="ListLabel207">
    <w:name w:val="ListLabel 207"/>
    <w:qFormat/>
    <w:rPr>
      <w:b w:val="false"/>
      <w:bCs w:val="false"/>
      <w:sz w:val="24"/>
      <w:szCs w:val="24"/>
    </w:rPr>
  </w:style>
  <w:style w:type="character" w:styleId="ListLabel208">
    <w:name w:val="ListLabel 208"/>
    <w:qFormat/>
    <w:rPr>
      <w:rFonts w:eastAsia="Times New Roman" w:cs="Times New Roman"/>
      <w:b w:val="false"/>
      <w:bCs w:val="false"/>
      <w:i w:val="false"/>
      <w:iCs w:val="false"/>
      <w:sz w:val="24"/>
      <w:szCs w:val="24"/>
    </w:rPr>
  </w:style>
  <w:style w:type="character" w:styleId="ListLabel209">
    <w:name w:val="ListLabel 209"/>
    <w:qFormat/>
    <w:rPr>
      <w:rFonts w:ascii="Times New Roman" w:hAnsi="Times New Roman" w:cs="OpenSymbol"/>
      <w:b w:val="false"/>
    </w:rPr>
  </w:style>
  <w:style w:type="character" w:styleId="ListLabel210">
    <w:name w:val="ListLabel 210"/>
    <w:qFormat/>
    <w:rPr>
      <w:rFonts w:cs="OpenSymbol"/>
    </w:rPr>
  </w:style>
  <w:style w:type="character" w:styleId="ListLabel211">
    <w:name w:val="ListLabel 211"/>
    <w:qFormat/>
    <w:rPr>
      <w:rFonts w:cs="OpenSymbol"/>
    </w:rPr>
  </w:style>
  <w:style w:type="character" w:styleId="ListLabel212">
    <w:name w:val="ListLabel 212"/>
    <w:qFormat/>
    <w:rPr>
      <w:rFonts w:cs="OpenSymbol"/>
    </w:rPr>
  </w:style>
  <w:style w:type="character" w:styleId="ListLabel213">
    <w:name w:val="ListLabel 213"/>
    <w:qFormat/>
    <w:rPr>
      <w:rFonts w:cs="OpenSymbol"/>
    </w:rPr>
  </w:style>
  <w:style w:type="character" w:styleId="ListLabel214">
    <w:name w:val="ListLabel 214"/>
    <w:qFormat/>
    <w:rPr>
      <w:rFonts w:cs="OpenSymbol"/>
    </w:rPr>
  </w:style>
  <w:style w:type="character" w:styleId="ListLabel215">
    <w:name w:val="ListLabel 215"/>
    <w:qFormat/>
    <w:rPr>
      <w:rFonts w:cs="OpenSymbol"/>
    </w:rPr>
  </w:style>
  <w:style w:type="character" w:styleId="ListLabel216">
    <w:name w:val="ListLabel 216"/>
    <w:qFormat/>
    <w:rPr>
      <w:rFonts w:cs="OpenSymbol"/>
    </w:rPr>
  </w:style>
  <w:style w:type="character" w:styleId="ListLabel217">
    <w:name w:val="ListLabel 217"/>
    <w:qFormat/>
    <w:rPr>
      <w:rFonts w:cs="OpenSymbol"/>
    </w:rPr>
  </w:style>
  <w:style w:type="character" w:styleId="ListLabel218">
    <w:name w:val="ListLabel 218"/>
    <w:qFormat/>
    <w:rPr>
      <w:b w:val="false"/>
      <w:bCs w:val="false"/>
      <w:sz w:val="24"/>
      <w:szCs w:val="24"/>
    </w:rPr>
  </w:style>
  <w:style w:type="character" w:styleId="ListLabel219">
    <w:name w:val="ListLabel 219"/>
    <w:qFormat/>
    <w:rPr>
      <w:rFonts w:eastAsia="Times New Roman" w:cs="Times New Roman"/>
      <w:b w:val="false"/>
      <w:bCs w:val="false"/>
      <w:i w:val="false"/>
      <w:iCs w:val="false"/>
      <w:sz w:val="24"/>
      <w:szCs w:val="24"/>
    </w:rPr>
  </w:style>
  <w:style w:type="character" w:styleId="ListLabel220">
    <w:name w:val="ListLabel 220"/>
    <w:qFormat/>
    <w:rPr>
      <w:rFonts w:cs="OpenSymbol"/>
      <w:b w:val="false"/>
    </w:rPr>
  </w:style>
  <w:style w:type="character" w:styleId="ListLabel221">
    <w:name w:val="ListLabel 221"/>
    <w:qFormat/>
    <w:rPr>
      <w:rFonts w:cs="OpenSymbol"/>
    </w:rPr>
  </w:style>
  <w:style w:type="character" w:styleId="ListLabel222">
    <w:name w:val="ListLabel 222"/>
    <w:qFormat/>
    <w:rPr>
      <w:rFonts w:cs="OpenSymbol"/>
    </w:rPr>
  </w:style>
  <w:style w:type="character" w:styleId="ListLabel223">
    <w:name w:val="ListLabel 223"/>
    <w:qFormat/>
    <w:rPr>
      <w:rFonts w:cs="OpenSymbol"/>
    </w:rPr>
  </w:style>
  <w:style w:type="character" w:styleId="ListLabel224">
    <w:name w:val="ListLabel 224"/>
    <w:qFormat/>
    <w:rPr>
      <w:rFonts w:cs="OpenSymbol"/>
    </w:rPr>
  </w:style>
  <w:style w:type="character" w:styleId="ListLabel225">
    <w:name w:val="ListLabel 225"/>
    <w:qFormat/>
    <w:rPr>
      <w:rFonts w:cs="OpenSymbol"/>
    </w:rPr>
  </w:style>
  <w:style w:type="character" w:styleId="ListLabel226">
    <w:name w:val="ListLabel 226"/>
    <w:qFormat/>
    <w:rPr>
      <w:rFonts w:cs="OpenSymbol"/>
    </w:rPr>
  </w:style>
  <w:style w:type="character" w:styleId="ListLabel227">
    <w:name w:val="ListLabel 227"/>
    <w:qFormat/>
    <w:rPr>
      <w:rFonts w:cs="OpenSymbol"/>
    </w:rPr>
  </w:style>
  <w:style w:type="character" w:styleId="ListLabel228">
    <w:name w:val="ListLabel 228"/>
    <w:qFormat/>
    <w:rPr>
      <w:rFonts w:cs="OpenSymbol"/>
    </w:rPr>
  </w:style>
  <w:style w:type="character" w:styleId="ListLabel229">
    <w:name w:val="ListLabel 229"/>
    <w:qFormat/>
    <w:rPr>
      <w:rFonts w:cs="OpenSymbol"/>
    </w:rPr>
  </w:style>
  <w:style w:type="character" w:styleId="ListLabel230">
    <w:name w:val="ListLabel 230"/>
    <w:qFormat/>
    <w:rPr>
      <w:rFonts w:cs="OpenSymbol"/>
    </w:rPr>
  </w:style>
  <w:style w:type="character" w:styleId="ListLabel231">
    <w:name w:val="ListLabel 231"/>
    <w:qFormat/>
    <w:rPr>
      <w:rFonts w:cs="OpenSymbol"/>
    </w:rPr>
  </w:style>
  <w:style w:type="character" w:styleId="ListLabel232">
    <w:name w:val="ListLabel 232"/>
    <w:qFormat/>
    <w:rPr>
      <w:rFonts w:cs="OpenSymbol"/>
    </w:rPr>
  </w:style>
  <w:style w:type="character" w:styleId="ListLabel233">
    <w:name w:val="ListLabel 233"/>
    <w:qFormat/>
    <w:rPr>
      <w:rFonts w:cs="OpenSymbol"/>
    </w:rPr>
  </w:style>
  <w:style w:type="character" w:styleId="ListLabel234">
    <w:name w:val="ListLabel 234"/>
    <w:qFormat/>
    <w:rPr>
      <w:rFonts w:cs="OpenSymbol"/>
    </w:rPr>
  </w:style>
  <w:style w:type="character" w:styleId="ListLabel235">
    <w:name w:val="ListLabel 235"/>
    <w:qFormat/>
    <w:rPr>
      <w:rFonts w:cs="OpenSymbol"/>
    </w:rPr>
  </w:style>
  <w:style w:type="character" w:styleId="ListLabel236">
    <w:name w:val="ListLabel 236"/>
    <w:qFormat/>
    <w:rPr>
      <w:rFonts w:cs="OpenSymbol"/>
    </w:rPr>
  </w:style>
  <w:style w:type="character" w:styleId="ListLabel237">
    <w:name w:val="ListLabel 237"/>
    <w:qFormat/>
    <w:rPr>
      <w:rFonts w:cs="OpenSymbol"/>
    </w:rPr>
  </w:style>
  <w:style w:type="character" w:styleId="ListLabel238">
    <w:name w:val="ListLabel 238"/>
    <w:qFormat/>
    <w:rPr>
      <w:b w:val="false"/>
      <w:bCs w:val="false"/>
      <w:sz w:val="24"/>
      <w:szCs w:val="24"/>
    </w:rPr>
  </w:style>
  <w:style w:type="character" w:styleId="ListLabel239">
    <w:name w:val="ListLabel 239"/>
    <w:qFormat/>
    <w:rPr>
      <w:rFonts w:cs="OpenSymbol"/>
      <w:b w:val="false"/>
    </w:rPr>
  </w:style>
  <w:style w:type="character" w:styleId="ListLabel240">
    <w:name w:val="ListLabel 240"/>
    <w:qFormat/>
    <w:rPr>
      <w:rFonts w:cs="OpenSymbol"/>
    </w:rPr>
  </w:style>
  <w:style w:type="character" w:styleId="ListLabel241">
    <w:name w:val="ListLabel 241"/>
    <w:qFormat/>
    <w:rPr>
      <w:rFonts w:cs="OpenSymbol"/>
    </w:rPr>
  </w:style>
  <w:style w:type="character" w:styleId="ListLabel242">
    <w:name w:val="ListLabel 242"/>
    <w:qFormat/>
    <w:rPr>
      <w:rFonts w:cs="OpenSymbol"/>
    </w:rPr>
  </w:style>
  <w:style w:type="character" w:styleId="ListLabel243">
    <w:name w:val="ListLabel 243"/>
    <w:qFormat/>
    <w:rPr>
      <w:rFonts w:cs="OpenSymbol"/>
    </w:rPr>
  </w:style>
  <w:style w:type="character" w:styleId="ListLabel244">
    <w:name w:val="ListLabel 244"/>
    <w:qFormat/>
    <w:rPr>
      <w:rFonts w:cs="OpenSymbol"/>
    </w:rPr>
  </w:style>
  <w:style w:type="character" w:styleId="ListLabel245">
    <w:name w:val="ListLabel 245"/>
    <w:qFormat/>
    <w:rPr>
      <w:rFonts w:cs="OpenSymbol"/>
    </w:rPr>
  </w:style>
  <w:style w:type="character" w:styleId="ListLabel246">
    <w:name w:val="ListLabel 246"/>
    <w:qFormat/>
    <w:rPr>
      <w:rFonts w:cs="OpenSymbol"/>
    </w:rPr>
  </w:style>
  <w:style w:type="character" w:styleId="ListLabel247">
    <w:name w:val="ListLabel 247"/>
    <w:qFormat/>
    <w:rPr>
      <w:rFonts w:cs="OpenSymbol"/>
    </w:rPr>
  </w:style>
  <w:style w:type="character" w:styleId="ListLabel248">
    <w:name w:val="ListLabel 248"/>
    <w:qFormat/>
    <w:rPr>
      <w:rFonts w:cs="OpenSymbol"/>
    </w:rPr>
  </w:style>
  <w:style w:type="character" w:styleId="ListLabel249">
    <w:name w:val="ListLabel 249"/>
    <w:qFormat/>
    <w:rPr>
      <w:rFonts w:cs="OpenSymbol"/>
    </w:rPr>
  </w:style>
  <w:style w:type="character" w:styleId="ListLabel250">
    <w:name w:val="ListLabel 250"/>
    <w:qFormat/>
    <w:rPr>
      <w:rFonts w:cs="OpenSymbol"/>
    </w:rPr>
  </w:style>
  <w:style w:type="character" w:styleId="ListLabel251">
    <w:name w:val="ListLabel 251"/>
    <w:qFormat/>
    <w:rPr>
      <w:rFonts w:cs="OpenSymbol"/>
    </w:rPr>
  </w:style>
  <w:style w:type="character" w:styleId="ListLabel252">
    <w:name w:val="ListLabel 252"/>
    <w:qFormat/>
    <w:rPr>
      <w:rFonts w:cs="OpenSymbol"/>
    </w:rPr>
  </w:style>
  <w:style w:type="character" w:styleId="ListLabel253">
    <w:name w:val="ListLabel 253"/>
    <w:qFormat/>
    <w:rPr>
      <w:rFonts w:cs="OpenSymbol"/>
    </w:rPr>
  </w:style>
  <w:style w:type="character" w:styleId="ListLabel254">
    <w:name w:val="ListLabel 254"/>
    <w:qFormat/>
    <w:rPr>
      <w:rFonts w:cs="OpenSymbol"/>
    </w:rPr>
  </w:style>
  <w:style w:type="character" w:styleId="ListLabel255">
    <w:name w:val="ListLabel 255"/>
    <w:qFormat/>
    <w:rPr>
      <w:rFonts w:cs="OpenSymbol"/>
    </w:rPr>
  </w:style>
  <w:style w:type="character" w:styleId="ListLabel256">
    <w:name w:val="ListLabel 256"/>
    <w:qFormat/>
    <w:rPr>
      <w:rFonts w:cs="OpenSymbol"/>
    </w:rPr>
  </w:style>
  <w:style w:type="character" w:styleId="ListLabel257">
    <w:name w:val="ListLabel 257"/>
    <w:qFormat/>
    <w:rPr>
      <w:b w:val="false"/>
      <w:bCs w:val="false"/>
      <w:sz w:val="24"/>
      <w:szCs w:val="24"/>
    </w:rPr>
  </w:style>
  <w:style w:type="character" w:styleId="ListLabel258">
    <w:name w:val="ListLabel 258"/>
    <w:qFormat/>
    <w:rPr>
      <w:rFonts w:cs="OpenSymbol"/>
      <w:b w:val="false"/>
    </w:rPr>
  </w:style>
  <w:style w:type="character" w:styleId="ListLabel259">
    <w:name w:val="ListLabel 259"/>
    <w:qFormat/>
    <w:rPr>
      <w:rFonts w:cs="OpenSymbol"/>
    </w:rPr>
  </w:style>
  <w:style w:type="character" w:styleId="ListLabel260">
    <w:name w:val="ListLabel 260"/>
    <w:qFormat/>
    <w:rPr>
      <w:rFonts w:cs="OpenSymbol"/>
    </w:rPr>
  </w:style>
  <w:style w:type="character" w:styleId="ListLabel261">
    <w:name w:val="ListLabel 261"/>
    <w:qFormat/>
    <w:rPr>
      <w:rFonts w:cs="OpenSymbol"/>
    </w:rPr>
  </w:style>
  <w:style w:type="character" w:styleId="ListLabel262">
    <w:name w:val="ListLabel 262"/>
    <w:qFormat/>
    <w:rPr>
      <w:rFonts w:cs="OpenSymbol"/>
    </w:rPr>
  </w:style>
  <w:style w:type="character" w:styleId="ListLabel263">
    <w:name w:val="ListLabel 263"/>
    <w:qFormat/>
    <w:rPr>
      <w:rFonts w:cs="OpenSymbol"/>
    </w:rPr>
  </w:style>
  <w:style w:type="character" w:styleId="ListLabel264">
    <w:name w:val="ListLabel 264"/>
    <w:qFormat/>
    <w:rPr>
      <w:rFonts w:cs="OpenSymbol"/>
    </w:rPr>
  </w:style>
  <w:style w:type="character" w:styleId="ListLabel265">
    <w:name w:val="ListLabel 265"/>
    <w:qFormat/>
    <w:rPr>
      <w:rFonts w:cs="OpenSymbol"/>
    </w:rPr>
  </w:style>
  <w:style w:type="character" w:styleId="ListLabel266">
    <w:name w:val="ListLabel 266"/>
    <w:qFormat/>
    <w:rPr>
      <w:rFonts w:cs="OpenSymbol"/>
    </w:rPr>
  </w:style>
  <w:style w:type="character" w:styleId="ListLabel267">
    <w:name w:val="ListLabel 267"/>
    <w:qFormat/>
    <w:rPr>
      <w:rFonts w:cs="OpenSymbol"/>
    </w:rPr>
  </w:style>
  <w:style w:type="character" w:styleId="ListLabel268">
    <w:name w:val="ListLabel 268"/>
    <w:qFormat/>
    <w:rPr>
      <w:rFonts w:cs="OpenSymbol"/>
    </w:rPr>
  </w:style>
  <w:style w:type="character" w:styleId="ListLabel269">
    <w:name w:val="ListLabel 269"/>
    <w:qFormat/>
    <w:rPr>
      <w:rFonts w:cs="OpenSymbol"/>
    </w:rPr>
  </w:style>
  <w:style w:type="character" w:styleId="ListLabel270">
    <w:name w:val="ListLabel 270"/>
    <w:qFormat/>
    <w:rPr>
      <w:rFonts w:cs="OpenSymbol"/>
    </w:rPr>
  </w:style>
  <w:style w:type="character" w:styleId="ListLabel271">
    <w:name w:val="ListLabel 271"/>
    <w:qFormat/>
    <w:rPr>
      <w:rFonts w:cs="OpenSymbol"/>
    </w:rPr>
  </w:style>
  <w:style w:type="character" w:styleId="ListLabel272">
    <w:name w:val="ListLabel 272"/>
    <w:qFormat/>
    <w:rPr>
      <w:rFonts w:cs="OpenSymbol"/>
    </w:rPr>
  </w:style>
  <w:style w:type="character" w:styleId="ListLabel273">
    <w:name w:val="ListLabel 273"/>
    <w:qFormat/>
    <w:rPr>
      <w:rFonts w:cs="OpenSymbol"/>
    </w:rPr>
  </w:style>
  <w:style w:type="character" w:styleId="ListLabel274">
    <w:name w:val="ListLabel 274"/>
    <w:qFormat/>
    <w:rPr>
      <w:rFonts w:cs="OpenSymbol"/>
    </w:rPr>
  </w:style>
  <w:style w:type="character" w:styleId="ListLabel275">
    <w:name w:val="ListLabel 275"/>
    <w:qFormat/>
    <w:rPr>
      <w:rFonts w:cs="OpenSymbol"/>
    </w:rPr>
  </w:style>
  <w:style w:type="character" w:styleId="ListLabel276">
    <w:name w:val="ListLabel 276"/>
    <w:qFormat/>
    <w:rPr>
      <w:b w:val="false"/>
      <w:bCs w:val="false"/>
      <w:sz w:val="24"/>
      <w:szCs w:val="24"/>
    </w:rPr>
  </w:style>
  <w:style w:type="character" w:styleId="ListLabel277">
    <w:name w:val="ListLabel 277"/>
    <w:qFormat/>
    <w:rPr>
      <w:rFonts w:cs="OpenSymbol"/>
      <w:b w:val="false"/>
    </w:rPr>
  </w:style>
  <w:style w:type="character" w:styleId="ListLabel278">
    <w:name w:val="ListLabel 278"/>
    <w:qFormat/>
    <w:rPr>
      <w:rFonts w:cs="OpenSymbol"/>
    </w:rPr>
  </w:style>
  <w:style w:type="character" w:styleId="ListLabel279">
    <w:name w:val="ListLabel 279"/>
    <w:qFormat/>
    <w:rPr>
      <w:rFonts w:cs="OpenSymbol"/>
    </w:rPr>
  </w:style>
  <w:style w:type="character" w:styleId="ListLabel280">
    <w:name w:val="ListLabel 280"/>
    <w:qFormat/>
    <w:rPr>
      <w:rFonts w:cs="OpenSymbol"/>
    </w:rPr>
  </w:style>
  <w:style w:type="character" w:styleId="ListLabel281">
    <w:name w:val="ListLabel 281"/>
    <w:qFormat/>
    <w:rPr>
      <w:rFonts w:cs="OpenSymbol"/>
    </w:rPr>
  </w:style>
  <w:style w:type="character" w:styleId="ListLabel282">
    <w:name w:val="ListLabel 282"/>
    <w:qFormat/>
    <w:rPr>
      <w:rFonts w:cs="OpenSymbol"/>
    </w:rPr>
  </w:style>
  <w:style w:type="character" w:styleId="ListLabel283">
    <w:name w:val="ListLabel 283"/>
    <w:qFormat/>
    <w:rPr>
      <w:rFonts w:cs="OpenSymbol"/>
    </w:rPr>
  </w:style>
  <w:style w:type="character" w:styleId="ListLabel284">
    <w:name w:val="ListLabel 284"/>
    <w:qFormat/>
    <w:rPr>
      <w:rFonts w:cs="OpenSymbol"/>
    </w:rPr>
  </w:style>
  <w:style w:type="character" w:styleId="ListLabel285">
    <w:name w:val="ListLabel 285"/>
    <w:qFormat/>
    <w:rPr>
      <w:rFonts w:cs="OpenSymbol"/>
    </w:rPr>
  </w:style>
  <w:style w:type="character" w:styleId="ListLabel286">
    <w:name w:val="ListLabel 286"/>
    <w:qFormat/>
    <w:rPr>
      <w:rFonts w:cs="OpenSymbol"/>
    </w:rPr>
  </w:style>
  <w:style w:type="character" w:styleId="ListLabel287">
    <w:name w:val="ListLabel 287"/>
    <w:qFormat/>
    <w:rPr>
      <w:rFonts w:cs="OpenSymbol"/>
    </w:rPr>
  </w:style>
  <w:style w:type="character" w:styleId="ListLabel288">
    <w:name w:val="ListLabel 288"/>
    <w:qFormat/>
    <w:rPr>
      <w:rFonts w:cs="OpenSymbol"/>
    </w:rPr>
  </w:style>
  <w:style w:type="character" w:styleId="ListLabel289">
    <w:name w:val="ListLabel 289"/>
    <w:qFormat/>
    <w:rPr>
      <w:rFonts w:cs="OpenSymbol"/>
    </w:rPr>
  </w:style>
  <w:style w:type="character" w:styleId="ListLabel290">
    <w:name w:val="ListLabel 290"/>
    <w:qFormat/>
    <w:rPr>
      <w:rFonts w:cs="OpenSymbol"/>
    </w:rPr>
  </w:style>
  <w:style w:type="character" w:styleId="ListLabel291">
    <w:name w:val="ListLabel 291"/>
    <w:qFormat/>
    <w:rPr>
      <w:rFonts w:cs="OpenSymbol"/>
    </w:rPr>
  </w:style>
  <w:style w:type="character" w:styleId="ListLabel292">
    <w:name w:val="ListLabel 292"/>
    <w:qFormat/>
    <w:rPr>
      <w:rFonts w:cs="OpenSymbol"/>
    </w:rPr>
  </w:style>
  <w:style w:type="character" w:styleId="ListLabel293">
    <w:name w:val="ListLabel 293"/>
    <w:qFormat/>
    <w:rPr>
      <w:rFonts w:cs="OpenSymbol"/>
    </w:rPr>
  </w:style>
  <w:style w:type="character" w:styleId="ListLabel294">
    <w:name w:val="ListLabel 294"/>
    <w:qFormat/>
    <w:rPr>
      <w:rFonts w:cs="OpenSymbol"/>
    </w:rPr>
  </w:style>
  <w:style w:type="character" w:styleId="ListLabel295">
    <w:name w:val="ListLabel 295"/>
    <w:qFormat/>
    <w:rPr>
      <w:b w:val="false"/>
      <w:bCs w:val="false"/>
      <w:sz w:val="24"/>
      <w:szCs w:val="24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Gwka">
    <w:name w:val="Header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wldg@tomaszo-maz.pl" TargetMode="External"/><Relationship Id="rId3" Type="http://schemas.openxmlformats.org/officeDocument/2006/relationships/header" Target="head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10601</TotalTime>
  <Application>LibreOffice/6.0.3.2$Windows_x86 LibreOffice_project/8f48d515416608e3a835360314dac7e47fd0b821</Application>
  <Pages>9</Pages>
  <Words>2266</Words>
  <Characters>14687</Characters>
  <CharactersWithSpaces>17061</CharactersWithSpaces>
  <Paragraphs>88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2018-08-21T08:11:00Z</dcterms:created>
  <dc:creator>Lech Gajzler</dc:creator>
  <dc:description/>
  <dc:language>pl-PL</dc:language>
  <cp:lastModifiedBy/>
  <cp:lastPrinted>2020-06-09T09:17:09Z</cp:lastPrinted>
  <dcterms:modified xsi:type="dcterms:W3CDTF">2020-06-09T09:36:30Z</dcterms:modified>
  <cp:revision>49</cp:revision>
  <dc:subject/>
  <dc:title>Szablon - Przewodniczący Państwowej Komisji Wyborczej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