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D03" w:rsidRDefault="00A15D03" w:rsidP="00A15D03">
      <w:r>
        <w:t xml:space="preserve">projekt </w:t>
      </w:r>
    </w:p>
    <w:p w:rsidR="00A15D03" w:rsidRDefault="00A15D03" w:rsidP="00A15D03"/>
    <w:p w:rsidR="00A15D03" w:rsidRDefault="00A15D03" w:rsidP="00A15D03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32"/>
          <w:szCs w:val="32"/>
        </w:rPr>
        <w:t>UCHWAŁA Nr XX/……../2019</w:t>
      </w:r>
    </w:p>
    <w:p w:rsidR="00A15D03" w:rsidRDefault="00A15D03" w:rsidP="00A15D03">
      <w:pPr>
        <w:ind w:left="1416" w:firstLine="708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Rady Miejskiej Tomaszowa Mazowieckiego</w:t>
      </w:r>
    </w:p>
    <w:p w:rsidR="00A15D03" w:rsidRDefault="00A15D03" w:rsidP="00A15D03">
      <w:pPr>
        <w:ind w:left="1416" w:firstLine="708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sz w:val="28"/>
          <w:szCs w:val="28"/>
        </w:rPr>
        <w:t xml:space="preserve">z dnia …………….2019 roku </w:t>
      </w:r>
    </w:p>
    <w:p w:rsidR="00A15D03" w:rsidRDefault="00A15D03" w:rsidP="00A15D03">
      <w:pPr>
        <w:ind w:left="1416" w:firstLine="708"/>
        <w:rPr>
          <w:rFonts w:cstheme="minorHAnsi"/>
          <w:sz w:val="28"/>
          <w:szCs w:val="28"/>
        </w:rPr>
      </w:pPr>
    </w:p>
    <w:p w:rsidR="00A15D03" w:rsidRDefault="00A15D03" w:rsidP="00A15D0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 sprawie rozpatrzenia petycji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podstawie art. 18 ust. 2 pkt.15 ustawy z dnia 8 marca  1990 roku </w:t>
      </w:r>
      <w:r>
        <w:rPr>
          <w:rFonts w:cstheme="minorHAnsi"/>
          <w:sz w:val="24"/>
          <w:szCs w:val="24"/>
        </w:rPr>
        <w:br/>
        <w:t xml:space="preserve">o samorządzie gminnym (tj. Dz.U. z 2019 roku, poz. 506,  1309,1571, 1696) w związku z art.9 ust.2 ustawy z dnia 11 lipca 2014 roku o petycjach (Dz.U. z 2018 r. poz. 870)  uchwala się, co następuje: 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§ 1. </w:t>
      </w:r>
      <w:r>
        <w:rPr>
          <w:rFonts w:cstheme="minorHAnsi"/>
          <w:sz w:val="24"/>
          <w:szCs w:val="24"/>
        </w:rPr>
        <w:t xml:space="preserve">1 Po rozpatrzeniu petycji, która wpłynęła do Rady Miejskiej Tomaszowa Mazowieckiego w dniu 3 września 2019 roku dotyczącej wprowadzenia w życie Polityki Zarządzania Konfliktem Interesów adresowanej do radnych Rady Miejskiej Tomaszowa 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Mazowieckiego, uznaje się za bezzasadną.  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Uzasadnienie do zajętego stanowiska w sprawie rozpatrzenia petycji stanowi załącznik do niniejszej uchwały.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§ 2. </w:t>
      </w:r>
      <w:r>
        <w:rPr>
          <w:rFonts w:cstheme="minorHAnsi"/>
          <w:sz w:val="24"/>
          <w:szCs w:val="24"/>
        </w:rPr>
        <w:t xml:space="preserve">Zobowiązuje się Przewodniczącego Rady Miejskiej do poinformowania składającego petycję o sposobie jej rozpatrzenia. 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§ 3.</w:t>
      </w:r>
      <w:r>
        <w:rPr>
          <w:rFonts w:cstheme="minorHAnsi"/>
          <w:sz w:val="24"/>
          <w:szCs w:val="24"/>
        </w:rPr>
        <w:t xml:space="preserve"> Uchwała wchodzi w życie z dniem podjęcia. </w:t>
      </w: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sz w:val="24"/>
          <w:szCs w:val="24"/>
        </w:rPr>
      </w:pP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  <w:r>
        <w:rPr>
          <w:rFonts w:cstheme="minorHAnsi"/>
          <w:i/>
        </w:rPr>
        <w:t>projekt uchwały sporządziła:</w:t>
      </w: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projekt uchwały zaopiniował pod względem prawnym: </w:t>
      </w: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</w:p>
    <w:p w:rsidR="00A15D03" w:rsidRDefault="00A15D03" w:rsidP="00A15D03">
      <w:pPr>
        <w:ind w:firstLine="708"/>
        <w:jc w:val="both"/>
        <w:rPr>
          <w:rFonts w:cstheme="minorHAnsi"/>
          <w:i/>
        </w:rPr>
      </w:pPr>
    </w:p>
    <w:sectPr w:rsidR="00A15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11092"/>
    <w:multiLevelType w:val="hybridMultilevel"/>
    <w:tmpl w:val="A0A42EDE"/>
    <w:lvl w:ilvl="0" w:tplc="48FA2220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03"/>
    <w:rsid w:val="003C55BC"/>
    <w:rsid w:val="00A15D03"/>
    <w:rsid w:val="00A5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599F4-39BC-40BD-ACC0-45B93E87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D0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dcterms:created xsi:type="dcterms:W3CDTF">2019-11-21T09:54:00Z</dcterms:created>
  <dcterms:modified xsi:type="dcterms:W3CDTF">2019-11-21T10:00:00Z</dcterms:modified>
</cp:coreProperties>
</file>