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/>
      </w:pPr>
      <w:r>
        <w:rPr/>
        <w:t xml:space="preserve"> </w:t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  <w:drawing>
          <wp:anchor behindDoc="1" distT="0" distB="0" distL="114935" distR="114935" simplePos="0" locked="0" layoutInCell="1" allowOverlap="1" relativeHeight="2">
            <wp:simplePos x="0" y="0"/>
            <wp:positionH relativeFrom="column">
              <wp:posOffset>2456180</wp:posOffset>
            </wp:positionH>
            <wp:positionV relativeFrom="paragraph">
              <wp:posOffset>184150</wp:posOffset>
            </wp:positionV>
            <wp:extent cx="1228090" cy="1282700"/>
            <wp:effectExtent l="0" t="0" r="0" b="0"/>
            <wp:wrapTight wrapText="bothSides">
              <wp:wrapPolygon edited="0">
                <wp:start x="-543" y="-476"/>
                <wp:lineTo x="-543" y="21896"/>
                <wp:lineTo x="21963" y="21896"/>
                <wp:lineTo x="21963" y="-476"/>
                <wp:lineTo x="-543" y="-476"/>
              </wp:wrapPolygon>
            </wp:wrapTight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282700"/>
                    </a:xfrm>
                    <a:prstGeom prst="rect">
                      <a:avLst/>
                    </a:prstGeom>
                    <a:ln w="4445">
                      <a:solidFill>
                        <a:srgbClr val="C4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i/>
          <w:i/>
          <w:iCs/>
          <w:sz w:val="72"/>
          <w:szCs w:val="72"/>
          <w:lang w:val="pl-PL"/>
        </w:rPr>
      </w:pPr>
      <w:r>
        <w:rPr/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i/>
          <w:i/>
          <w:iCs/>
          <w:sz w:val="72"/>
          <w:szCs w:val="72"/>
          <w:lang w:val="pl-PL"/>
        </w:rPr>
      </w:pPr>
      <w:r>
        <w:rPr/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i/>
          <w:i/>
          <w:iCs/>
          <w:sz w:val="72"/>
          <w:szCs w:val="72"/>
          <w:lang w:val="pl-PL"/>
        </w:rPr>
      </w:pPr>
      <w:r>
        <w:rPr/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i/>
          <w:i/>
          <w:iCs/>
          <w:sz w:val="72"/>
          <w:szCs w:val="72"/>
          <w:lang w:val="pl-PL"/>
        </w:rPr>
      </w:pPr>
      <w:r>
        <w:rPr/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i/>
          <w:i/>
          <w:iCs/>
          <w:sz w:val="72"/>
          <w:szCs w:val="72"/>
          <w:lang w:val="pl-PL"/>
        </w:rPr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i/>
          <w:iCs/>
          <w:sz w:val="72"/>
          <w:szCs w:val="72"/>
          <w:lang w:val="pl-PL"/>
        </w:rPr>
        <w:t>Sprawozdanie</w:t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8"/>
          <w:szCs w:val="48"/>
          <w:lang w:val="pl-PL"/>
        </w:rPr>
        <w:t>z realizacji</w:t>
      </w:r>
    </w:p>
    <w:p>
      <w:pPr>
        <w:pStyle w:val="Normal"/>
        <w:spacing w:lineRule="auto" w:line="240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Miejskiego Programu Przeciwdziałania Przemocy w Rodzinie i Ochrony Ofiar Przemocy                          w  Rodzinie</w:t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na lata 2017 – 2020</w:t>
      </w:r>
    </w:p>
    <w:p>
      <w:pPr>
        <w:pStyle w:val="Normal"/>
        <w:spacing w:lineRule="auto" w:line="240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za okres I -XII 2017r.</w:t>
      </w:r>
    </w:p>
    <w:p>
      <w:pPr>
        <w:pStyle w:val="Normal"/>
        <w:spacing w:lineRule="auto" w:line="240"/>
        <w:jc w:val="center"/>
        <w:rPr>
          <w:rStyle w:val="Domylnaczcionkaakapitu"/>
          <w:b/>
          <w:b/>
          <w:bCs/>
          <w:sz w:val="44"/>
          <w:szCs w:val="44"/>
          <w:lang w:val="pl-PL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/>
      </w:r>
    </w:p>
    <w:p>
      <w:pPr>
        <w:pStyle w:val="Normalny"/>
        <w:rPr>
          <w:rStyle w:val="Domylnaczcionkaakapitu"/>
          <w:sz w:val="32"/>
          <w:szCs w:val="32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Normal"/>
        <w:jc w:val="center"/>
        <w:rPr>
          <w:b/>
          <w:b/>
          <w:bCs/>
          <w:sz w:val="48"/>
          <w:szCs w:val="48"/>
          <w:lang w:val="pl-PL" w:eastAsia="zxx" w:bidi="zxx"/>
        </w:rPr>
      </w:pPr>
      <w:r>
        <w:rPr>
          <w:b/>
          <w:bCs/>
          <w:sz w:val="48"/>
          <w:szCs w:val="48"/>
          <w:lang w:val="pl-PL" w:eastAsia="zxx" w:bidi="zxx"/>
        </w:rPr>
      </w:r>
    </w:p>
    <w:p>
      <w:pPr>
        <w:pStyle w:val="Normal"/>
        <w:jc w:val="center"/>
        <w:rPr>
          <w:b/>
          <w:b/>
          <w:bCs/>
          <w:sz w:val="48"/>
          <w:szCs w:val="48"/>
          <w:lang w:val="pl-PL" w:eastAsia="zxx" w:bidi="zxx"/>
        </w:rPr>
      </w:pPr>
      <w:r>
        <w:rPr>
          <w:b/>
          <w:bCs/>
          <w:sz w:val="48"/>
          <w:szCs w:val="48"/>
          <w:lang w:val="pl-PL" w:eastAsia="zxx" w:bidi="zxx"/>
        </w:rPr>
      </w:r>
    </w:p>
    <w:p>
      <w:pPr>
        <w:pStyle w:val="Default"/>
        <w:spacing w:lineRule="auto" w:line="360"/>
        <w:jc w:val="center"/>
        <w:rPr>
          <w:rFonts w:ascii="Times New Roman" w:hAnsi="Times New Roman" w:eastAsia="Arial" w:cs="Arial"/>
          <w:b/>
          <w:b/>
          <w:bCs/>
          <w:color w:val="000000"/>
          <w:sz w:val="48"/>
          <w:szCs w:val="48"/>
          <w:lang w:val="pl-PL" w:eastAsia="zxx" w:bidi="zxx"/>
        </w:rPr>
      </w:pPr>
      <w:r>
        <w:rPr>
          <w:rFonts w:eastAsia="Arial" w:cs="Arial" w:ascii="Times New Roman" w:hAnsi="Times New Roman"/>
          <w:b/>
          <w:bCs/>
          <w:color w:val="000000"/>
          <w:sz w:val="48"/>
          <w:szCs w:val="48"/>
          <w:lang w:val="pl-PL" w:eastAsia="zxx" w:bidi="zxx"/>
        </w:rPr>
      </w:r>
    </w:p>
    <w:p>
      <w:pPr>
        <w:pStyle w:val="Default"/>
        <w:spacing w:lineRule="auto" w:line="36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Times New Roman" w:hAnsi="Times New Roman"/>
          <w:b w:val="false"/>
          <w:bCs w:val="false"/>
          <w:color w:val="000000"/>
          <w:sz w:val="48"/>
          <w:szCs w:val="48"/>
          <w:lang w:val="pl-PL" w:eastAsia="zxx" w:bidi="zxx"/>
        </w:rPr>
        <w:tab/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Zgodnie z ustawą o przeciwdziałaniu przemocy w rodzinie do zadań własnych gminy należy  w szczególności tworzenie gminnego systemu przeciwdziałania przemocy w rodzinie, w tym: </w:t>
      </w:r>
    </w:p>
    <w:p>
      <w:pPr>
        <w:pStyle w:val="Default"/>
        <w:autoSpaceDE w:val="false"/>
        <w:spacing w:lineRule="auto" w:line="360" w:before="0" w:after="147"/>
        <w:rPr/>
      </w:pPr>
      <w:r>
        <w:rPr>
          <w:rFonts w:eastAsia="Wingdings" w:cs="Wingdings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 </w:t>
      </w:r>
      <w:r>
        <w:rPr>
          <w:rFonts w:eastAsia="Arial" w:cs="Arial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opracowanie i realizacja gminnego programu przeciwdziałania przemocy w rodzinie oraz ochrony ofiar przemocy w rodzinie; </w:t>
      </w:r>
    </w:p>
    <w:p>
      <w:pPr>
        <w:pStyle w:val="Default"/>
        <w:autoSpaceDE w:val="false"/>
        <w:spacing w:lineRule="auto" w:line="360" w:before="0" w:after="147"/>
        <w:rPr/>
      </w:pPr>
      <w:r>
        <w:rPr>
          <w:rFonts w:eastAsia="Wingdings" w:cs="Wingdings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 </w:t>
      </w:r>
      <w:r>
        <w:rPr>
          <w:rFonts w:eastAsia="Arial" w:cs="Arial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prowadzenie poradnictwa i interwencji w zakresie przeciwdziałania przemocy w rodzinie                           w szczególności poprzez działania edukacyjne służące wzmocnieniu opiekuńczych i wychowawczych kompetencji rodziców w rodzinach zagrożonych przemocą w rodzinie; </w:t>
      </w:r>
    </w:p>
    <w:p>
      <w:pPr>
        <w:pStyle w:val="Default"/>
        <w:autoSpaceDE w:val="false"/>
        <w:spacing w:lineRule="auto" w:line="360" w:before="0" w:after="147"/>
        <w:rPr/>
      </w:pPr>
      <w:r>
        <w:rPr>
          <w:rFonts w:eastAsia="Wingdings" w:cs="Wingdings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 </w:t>
      </w:r>
      <w:r>
        <w:rPr>
          <w:rFonts w:eastAsia="Arial" w:cs="Arial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zapewnienie osobom dotkniętym przemocą w rodzinie miejsc w ośrodkach wsparcia; </w:t>
      </w:r>
    </w:p>
    <w:p>
      <w:pPr>
        <w:pStyle w:val="Default"/>
        <w:autoSpaceDE w:val="false"/>
        <w:spacing w:lineRule="auto" w:line="360" w:before="0" w:after="0"/>
        <w:rPr/>
      </w:pPr>
      <w:r>
        <w:rPr>
          <w:rFonts w:eastAsia="Wingdings" w:cs="Wingdings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 </w:t>
      </w:r>
      <w:r>
        <w:rPr>
          <w:rFonts w:eastAsia="Arial" w:cs="Arial" w:ascii="Times New Roman" w:hAnsi="Times New Roman"/>
          <w:strike w:val="false"/>
          <w:dstrike w:val="false"/>
          <w:color w:val="000000"/>
          <w:sz w:val="24"/>
          <w:szCs w:val="24"/>
          <w:u w:val="none"/>
        </w:rPr>
        <w:t xml:space="preserve">tworzenie zespołów interdyscyplinarnych. </w:t>
      </w:r>
    </w:p>
    <w:p>
      <w:pPr>
        <w:pStyle w:val="Normal"/>
        <w:spacing w:lineRule="auto" w:line="360"/>
        <w:jc w:val="left"/>
        <w:rPr>
          <w:rFonts w:eastAsia="Arial" w:cs="Arial"/>
          <w:b w:val="false"/>
          <w:b w:val="false"/>
          <w:bCs w:val="false"/>
          <w:color w:val="000000"/>
          <w:sz w:val="24"/>
          <w:szCs w:val="24"/>
          <w:lang w:val="pl-PL" w:eastAsia="zxx" w:bidi="zxx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lang w:val="pl-PL" w:eastAsia="zxx" w:bidi="zxx"/>
        </w:rPr>
        <w:tab/>
        <w:t xml:space="preserve">Dokumentem regulującym działania dotyczące zjawiska przemocy w rodzinie jest ustawa          z dnia 29 lipca 2005 roku o przeciwdziałaniu przemocy w rodzinie </w:t>
      </w:r>
      <w:r>
        <w:rPr>
          <w:rFonts w:eastAsia="Arial" w:cs="Arial"/>
          <w:b w:val="false"/>
          <w:bCs w:val="false"/>
          <w:i/>
          <w:iCs/>
          <w:color w:val="000000"/>
          <w:sz w:val="24"/>
          <w:szCs w:val="24"/>
          <w:lang w:val="pl-PL" w:eastAsia="zxx" w:bidi="zxx"/>
        </w:rPr>
        <w:t>(Dz. U. z 2005r. Nr 180, poz. 1493 z późn. zm.).</w:t>
      </w:r>
      <w:r>
        <w:rPr>
          <w:rFonts w:eastAsia="Arial" w:cs="Arial"/>
          <w:b w:val="false"/>
          <w:bCs w:val="false"/>
          <w:color w:val="000000"/>
          <w:sz w:val="24"/>
          <w:szCs w:val="24"/>
          <w:lang w:val="pl-PL" w:eastAsia="zxx" w:bidi="zxx"/>
        </w:rPr>
        <w:t xml:space="preserve">                                                                                                                                          Określa ona rodzaje pomocy udzielanej osobie dotkniętej przemocą w rodzinie, określa zadania              w zakresie przeciwdziałania przemocy w rodzinie należące do organów administracji rządowej                   i poszczególnych szczebli administracji samorządowej. </w:t>
      </w:r>
    </w:p>
    <w:p>
      <w:pPr>
        <w:pStyle w:val="Default"/>
        <w:autoSpaceDE w:val="false"/>
        <w:spacing w:lineRule="auto" w:line="360"/>
        <w:rPr>
          <w:rFonts w:ascii="Times New Roman" w:hAnsi="Times New Roman" w:eastAsia="Arial" w:cs="Arial"/>
          <w:color w:val="000000"/>
          <w:sz w:val="24"/>
          <w:szCs w:val="24"/>
          <w:lang w:val="pl-PL" w:eastAsia="zxx" w:bidi="zxx"/>
        </w:rPr>
      </w:pPr>
      <w:r>
        <w:rPr>
          <w:rFonts w:eastAsia="Arial" w:cs="Arial" w:ascii="Times New Roman" w:hAnsi="Times New Roman"/>
          <w:color w:val="000000"/>
          <w:sz w:val="24"/>
          <w:szCs w:val="24"/>
          <w:lang w:val="pl-PL" w:eastAsia="zxx" w:bidi="zxx"/>
        </w:rPr>
        <w:tab/>
      </w:r>
      <w:r>
        <w:rPr>
          <w:rFonts w:eastAsia="Arial" w:cs="Arial" w:ascii="Times New Roman" w:hAnsi="Times New Roman"/>
          <w:b/>
          <w:bCs/>
          <w:color w:val="000000"/>
          <w:sz w:val="24"/>
          <w:szCs w:val="24"/>
          <w:lang w:val="pl-PL" w:eastAsia="zxx" w:bidi="zxx"/>
        </w:rPr>
        <w:t>Główne założenia Miejskiego Programu Przeciwdziałania Przemocy w Rodzinie            i Ochrony Ofiar Przemocy w Rodzinie na lata 2017-2020 to</w:t>
      </w:r>
      <w:r>
        <w:rPr>
          <w:rFonts w:eastAsia="Times New Roman;Times New Roman" w:cs="Times New Roman;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 w:eastAsia="zxx" w:bidi="zxx"/>
        </w:rPr>
        <w:t xml:space="preserve"> przeciwdziałanie przemocy              w rodzinie oraz zwiększenie dostępności i skuteczności pomocy instytucjonalnej. </w:t>
      </w:r>
    </w:p>
    <w:p>
      <w:pPr>
        <w:pStyle w:val="Default"/>
        <w:numPr>
          <w:ilvl w:val="0"/>
          <w:numId w:val="0"/>
        </w:numPr>
        <w:autoSpaceDE w:val="false"/>
        <w:spacing w:lineRule="auto" w:line="360"/>
        <w:ind w:left="720" w:hanging="0"/>
        <w:jc w:val="both"/>
        <w:rPr>
          <w:rFonts w:ascii="Times New Roman" w:hAnsi="Times New Roman" w:eastAsia="Times New Roman;Times New Roman" w:cs="Times New Roman;Times New Roman"/>
          <w:b/>
          <w:b/>
          <w:bCs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Cele szczegółowe to:</w:t>
      </w:r>
    </w:p>
    <w:p>
      <w:pPr>
        <w:pStyle w:val="Default"/>
        <w:numPr>
          <w:ilvl w:val="0"/>
          <w:numId w:val="2"/>
        </w:numPr>
        <w:autoSpaceDE w:val="false"/>
        <w:spacing w:lineRule="auto" w:line="360"/>
        <w:jc w:val="both"/>
        <w:rPr>
          <w:rFonts w:ascii="Times New Roman" w:hAnsi="Times New Roman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Zmniejszenie skali zjawiska przemocy w rodzinie;</w:t>
      </w:r>
    </w:p>
    <w:p>
      <w:pPr>
        <w:pStyle w:val="Default"/>
        <w:numPr>
          <w:ilvl w:val="0"/>
          <w:numId w:val="2"/>
        </w:numPr>
        <w:autoSpaceDE w:val="false"/>
        <w:spacing w:lineRule="auto" w:line="360"/>
        <w:jc w:val="both"/>
        <w:rPr>
          <w:rFonts w:ascii="Times New Roman" w:hAnsi="Times New Roman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Zwiększenie skuteczności ochrony osób doznających przemocy domowej, zwiększenie dostępności oferowanej pomocy;</w:t>
      </w:r>
    </w:p>
    <w:p>
      <w:pPr>
        <w:pStyle w:val="Default"/>
        <w:numPr>
          <w:ilvl w:val="0"/>
          <w:numId w:val="2"/>
        </w:numPr>
        <w:autoSpaceDE w:val="false"/>
        <w:spacing w:lineRule="auto" w:line="360"/>
        <w:jc w:val="both"/>
        <w:rPr>
          <w:rFonts w:ascii="Times New Roman" w:hAnsi="Times New Roman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Poszerzenie oddziaływań wobec osób stosujących przemoc w rodzinie;</w:t>
      </w:r>
    </w:p>
    <w:p>
      <w:pPr>
        <w:pStyle w:val="Default"/>
        <w:numPr>
          <w:ilvl w:val="0"/>
          <w:numId w:val="2"/>
        </w:numPr>
        <w:autoSpaceDE w:val="false"/>
        <w:spacing w:lineRule="auto" w:line="360"/>
        <w:jc w:val="both"/>
        <w:rPr>
          <w:rFonts w:ascii="Times New Roman" w:hAnsi="Times New Roman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Wzmocnienie współpracy pomiędzy podmiotami działającymi na rzecz rodzin doznających przemocy;</w:t>
      </w:r>
    </w:p>
    <w:p>
      <w:pPr>
        <w:pStyle w:val="Default"/>
        <w:numPr>
          <w:ilvl w:val="0"/>
          <w:numId w:val="2"/>
        </w:numPr>
        <w:autoSpaceDE w:val="false"/>
        <w:spacing w:lineRule="auto" w:line="360"/>
        <w:jc w:val="both"/>
        <w:rPr>
          <w:rFonts w:ascii="Times New Roman" w:hAnsi="Times New Roman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Podniesienie jakości i dostępności świadczonych usług oraz poziomu kompetencji przedstawicieli służb społecznych realizujących zadania z zakresu przeciwdziałania przemocy w rodzinie</w:t>
      </w:r>
    </w:p>
    <w:p>
      <w:pPr>
        <w:pStyle w:val="Default"/>
        <w:numPr>
          <w:ilvl w:val="0"/>
          <w:numId w:val="2"/>
        </w:numPr>
        <w:autoSpaceDE w:val="false"/>
        <w:spacing w:lineRule="auto" w:line="360"/>
        <w:jc w:val="both"/>
        <w:rPr>
          <w:rFonts w:ascii="Times New Roman" w:hAnsi="Times New Roman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</w:pPr>
      <w:r>
        <w:rPr>
          <w:rFonts w:eastAsia="Times New Roman;Times New Roman" w:cs="Times New Roman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/>
        </w:rPr>
        <w:t>Podejmowanie działań profilaktycznych w zakresie przeciwdziałania przemocy.</w:t>
      </w:r>
    </w:p>
    <w:p>
      <w:pPr>
        <w:pStyle w:val="Default"/>
        <w:numPr>
          <w:ilvl w:val="0"/>
          <w:numId w:val="0"/>
        </w:numPr>
        <w:autoSpaceDE w:val="false"/>
        <w:spacing w:lineRule="auto" w:line="360"/>
        <w:ind w:left="1080" w:hanging="0"/>
        <w:jc w:val="both"/>
        <w:rPr>
          <w:rFonts w:ascii="Arial" w:hAnsi="Arial" w:eastAsia="Times New Roman;Times New Roman" w:cs="Times New Roman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 w:eastAsia="zxx" w:bidi="zxx"/>
        </w:rPr>
      </w:pPr>
      <w:r>
        <w:rPr>
          <w:rFonts w:eastAsia="Times New Roman;Times New Roman" w:cs="Times New Roman;Times New Roman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</w:r>
    </w:p>
    <w:p>
      <w:pPr>
        <w:pStyle w:val="Tretekstu"/>
        <w:rPr>
          <w:lang w:val="pl-PL" w:eastAsia="zxx" w:bidi="zxx"/>
        </w:rPr>
      </w:pPr>
      <w:r>
        <w:rPr>
          <w:lang w:val="pl-PL" w:eastAsia="zxx" w:bidi="zxx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645" w:type="dxa"/>
        <w:jc w:val="left"/>
        <w:tblInd w:w="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3134"/>
        <w:gridCol w:w="2069"/>
        <w:gridCol w:w="1155"/>
        <w:gridCol w:w="3287"/>
      </w:tblGrid>
      <w:tr>
        <w:trPr/>
        <w:tc>
          <w:tcPr>
            <w:tcW w:w="96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  <w:vAlign w:val="center"/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sz w:val="24"/>
                <w:szCs w:val="24"/>
                <w:lang w:val="pl-PL" w:eastAsia="zxx" w:bidi="zxx"/>
              </w:rPr>
              <w:t xml:space="preserve">Cel I </w:t>
            </w: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  <w:lang w:val="pl-PL" w:eastAsia="zxx" w:bidi="zxx"/>
              </w:rPr>
              <w:t>-</w:t>
            </w:r>
            <w:r>
              <w:rPr>
                <w:b/>
                <w:bCs/>
                <w:i w:val="false"/>
                <w:iCs w:val="false"/>
                <w:sz w:val="24"/>
                <w:szCs w:val="24"/>
                <w:lang w:val="pl-PL" w:eastAsia="zxx" w:bidi="zxx"/>
              </w:rPr>
              <w:t xml:space="preserve">Monitorowanie i diagnozowanie zjawiska przemocy w rodzinie </w:t>
            </w:r>
          </w:p>
          <w:p>
            <w:pPr>
              <w:pStyle w:val="Normal"/>
              <w:spacing w:lineRule="auto" w:line="240"/>
              <w:rPr>
                <w:b/>
                <w:b/>
                <w:bCs/>
                <w:i w:val="false"/>
                <w:i w:val="false"/>
                <w:iCs w:val="false"/>
                <w:sz w:val="24"/>
                <w:szCs w:val="24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/>
                <w:b/>
                <w:bCs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lang w:val="pl-PL" w:eastAsia="zxx" w:bidi="zxx"/>
              </w:rPr>
              <w:t>Zadania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Podmiot odpowiedzialny za realizację zadania</w:t>
            </w:r>
            <w:r>
              <w:rPr>
                <w:lang w:val="pl-PL" w:eastAsia="zxx" w:bidi="zxx"/>
              </w:rPr>
              <w:t xml:space="preserve"> 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Czas realizacji</w:t>
            </w:r>
            <w:r>
              <w:rPr>
                <w:lang w:val="pl-PL" w:eastAsia="zxx" w:bidi="zxx"/>
              </w:rPr>
              <w:t xml:space="preserve"> 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Wskaźniki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1.Systematyczne zbieranie i analizowanie informacji na temat przebiegu wdrażania programu.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Miejski Ośrodek Pomocy Społecznej, Sąd Rejonowy, Komenda Powiatowa Policji, Organizacje Pozarządowe/ Stowarzyszenia, Służba Zdrowia, Powiatowe  Centrum Pomocy Rodzinie, Ośrodek Interwencji Kryzysowej, Urząd Miasta: Wydział Spraw Społecznych  i Promocji Zdrowia, Prokuratura Rejonowa, Miejska Komisja Rozwiązywania Problemów Alkoholowych  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liczba sprawozdań z przebiegu realizowanego programu - 21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-sprawozdania z posiedzeń Zespołu Interdyscyplinarnego - 4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lang w:val="pl-PL" w:eastAsia="zxx" w:bidi="zxx"/>
              </w:rPr>
              <w:t>-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liczba spotkań zespołu interdyscyplinarnego - 4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-średnia liczba  osób uczestniczących w spotkaniach – 8 osób.</w:t>
            </w:r>
          </w:p>
        </w:tc>
      </w:tr>
      <w:tr>
        <w:trPr/>
        <w:tc>
          <w:tcPr>
            <w:tcW w:w="964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/>
                <w:b/>
                <w:bCs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lang w:val="pl-PL" w:eastAsia="zxx" w:bidi="zxx"/>
              </w:rPr>
              <w:t>Cel II. Zapewnienie poczucia bezpieczeństwa w rodzinach z problemem przemocy domowej</w:t>
            </w:r>
          </w:p>
          <w:p>
            <w:pPr>
              <w:pStyle w:val="Normal"/>
              <w:rPr>
                <w:b/>
                <w:b/>
                <w:bCs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lang w:val="pl-PL" w:eastAsia="zxx" w:bidi="zxx"/>
              </w:rPr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1. Działania interwencyjne podejmowane przez zespół d/s Przeciwdziałania Przemocy w rodzinie i grupy robocze powołane przez Przewodniczącego Zespołu Interdyscyplinarnego.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PCPR-OIK,  MOPS, KPP, Sąd Rejonowy.</w:t>
            </w:r>
          </w:p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-liczba wizyt w środowisku w związku ze sporządzeniem Niebieskich Kart - 1230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ilość Niebieskich Kart ,,C” - 129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ilość przeprowadzonych interwencji - 271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-ilość pism i wniosków do Sądu, Prokuratury, Policji - 378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2.  Odseparowanie osoby doznającej przemocy poprzez zapewnienie schronienia w mieszkaniu chronionym, tymczasowym miejscu zabezpieczenia interwencyjnego, Ośrodku dla Ofiar Przemocy Domowej, Domu Samotnej Matki.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PCPR-OIK,  MOPS, KPP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liczba osób umieszczonych w: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mieszkaniach chronionych – 16 (6 rodzin)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ośrodku dla ofiar przemocy - 4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domu samotnej matki – 0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3. Podejmowanie działań interwencyjnych w rodzinie.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KPP, Sąd Rejonowy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- ilość interwencji w rodzinach - 349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4. Wsparcie psychologiczne                  w miejscu zdarzenia.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OIK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 xml:space="preserve">-ilość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konsultacji psychologicznych w miejscu interwencji - 7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5. Zabezpieczenia dzieci w środowisku zastępczym.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KPP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 xml:space="preserve">- liczba dzieci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zabezpieczonych w środowisku zastępczym - 6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 xml:space="preserve">- liczba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pouczeń wydanych przy zabezpieczeniu dzieci w środowisku zastępczym - 4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6. Pomoc materialna w ramach MOPS.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 xml:space="preserve">-liczba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rodzin, którym udzielono pomocy materialnej - 40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7. Mediacja rodzinna.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OIK, MOPS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-ilość przeprowadzonych mediacji rodzinnych - 3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8. Wnioski do Sądu, Prokuratury, na Policję, MKRPA.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Zespół Interdyscyplinarny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- ilość pism i wniosków: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a) do Sądu - 30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b) do Prokuratury - 8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c) na Policję - 304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d) do MKRPA - 137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e) Szkoły – 14</w:t>
            </w:r>
          </w:p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f) PCPR - 8</w:t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9.Wsparcie i profesjonalna pomoc doradcza, terapeutyczna, socjalna dzieciom i rodzinom dotkniętych przemocą.</w:t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OIK, MOPS, Organizacje Pozarządowe-Stowarzyszenia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i w:val="false"/>
                <w:iCs w:val="false"/>
                <w:lang w:val="pl-PL" w:eastAsia="zxx" w:bidi="zxx"/>
              </w:rPr>
              <w:t>-ilość przeprowadzonych konsultacji profilaktyczno doradczych - 157</w:t>
            </w:r>
          </w:p>
        </w:tc>
      </w:tr>
      <w:tr>
        <w:trPr/>
        <w:tc>
          <w:tcPr>
            <w:tcW w:w="964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spacing w:lineRule="auto" w:line="240"/>
              <w:rPr>
                <w:b/>
                <w:b/>
                <w:bCs/>
                <w:i w:val="false"/>
                <w:i w:val="false"/>
                <w:iCs w:val="false"/>
                <w:sz w:val="24"/>
                <w:szCs w:val="24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sz w:val="24"/>
                <w:szCs w:val="24"/>
                <w:lang w:val="pl-PL" w:eastAsia="zxx" w:bidi="zxx"/>
              </w:rPr>
              <w:t xml:space="preserve">  </w:t>
            </w:r>
            <w:r>
              <w:rPr>
                <w:b/>
                <w:bCs/>
                <w:i w:val="false"/>
                <w:iCs w:val="false"/>
                <w:sz w:val="24"/>
                <w:szCs w:val="24"/>
                <w:lang w:val="pl-PL" w:eastAsia="zxx" w:bidi="zxx"/>
              </w:rPr>
              <w:t xml:space="preserve">Cel III.-.Edukacja społeczna w zakresie problematyki przemocy  </w:t>
            </w:r>
          </w:p>
          <w:p>
            <w:pPr>
              <w:pStyle w:val="Normal"/>
              <w:rPr>
                <w:b/>
                <w:b/>
                <w:bCs/>
                <w:i w:val="false"/>
                <w:i w:val="false"/>
                <w:iCs w:val="false"/>
                <w:sz w:val="24"/>
                <w:szCs w:val="24"/>
                <w:lang w:val="pl-PL" w:eastAsia="zxx" w:bidi="zxx"/>
              </w:rPr>
            </w:pPr>
            <w:r>
              <w:rPr>
                <w:b/>
                <w:bCs/>
                <w:i w:val="false"/>
                <w:iCs w:val="false"/>
                <w:sz w:val="24"/>
                <w:szCs w:val="24"/>
                <w:lang w:val="pl-PL" w:eastAsia="zxx" w:bidi="zxx"/>
              </w:rPr>
            </w:r>
          </w:p>
        </w:tc>
      </w:tr>
      <w:tr>
        <w:trPr/>
        <w:tc>
          <w:tcPr>
            <w:tcW w:w="3134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1. Podnoszenie poziomu wiedzy społeczeństwa oraz upowszechnianie materiałów informacyjno-edykacyjnych na temat przemocy w rodzinie i jej negatywnych skutków.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</w:r>
          </w:p>
        </w:tc>
        <w:tc>
          <w:tcPr>
            <w:tcW w:w="2069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OIK, KPP, MKRPA, Urząd Miasta- Wydział Spraw Społecznych i Promocji Zdrowia, Wydział Edukacji, Organizacje Pozarządowe-Stowarzyszenia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2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liczba rozdysponowanych materiałów informacyjno-edukacyjnych oraz wpisów na stronach internetowych poszczególnych instytucji - 248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liczba przeprowadzonych pogadanek, warsztatów z dziećmi i młodzieżą - 136</w:t>
            </w:r>
          </w:p>
          <w:p>
            <w:pPr>
              <w:pStyle w:val="Normal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pl-PL" w:eastAsia="zxx" w:bidi="zxx"/>
              </w:rPr>
            </w:pP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- liczba aktywnie prowadzonych stron internetowych - 3</w:t>
            </w:r>
          </w:p>
        </w:tc>
      </w:tr>
    </w:tbl>
    <w:tbl>
      <w:tblPr>
        <w:tblW w:w="9661" w:type="dxa"/>
        <w:jc w:val="left"/>
        <w:tblInd w:w="31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3165"/>
        <w:gridCol w:w="2055"/>
        <w:gridCol w:w="1140"/>
        <w:gridCol w:w="3301"/>
      </w:tblGrid>
      <w:tr>
        <w:trPr/>
        <w:tc>
          <w:tcPr>
            <w:tcW w:w="3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2. Edukacja szkolna dzieci i młodzieży.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OIK, KPP, MKRPA, Urząd Miasta- Wydział Spraw Społecznych i Promocji Zdrowia, Wydział Edukacji, Organizacje Pozarządowe-</w:t>
            </w:r>
          </w:p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Stowarzyszenia</w:t>
            </w:r>
          </w:p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-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 xml:space="preserve"> liczba przeprowadzonych pogadanek, warsztatów z dziećmi i młodzieżą - 136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3.Zamieszczanie informacji dotyczących przemocy domowej na stronach internetowych.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OIK, KPP, MKRPA, Urząd Miasta- Wydział Spraw Społecznych i Promocji Zdrowia, Wydział Edukacji, Organizacje Pozarządowe-Stowarzyszenia.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- </w:t>
            </w:r>
            <w:r>
              <w:rPr>
                <w:b w:val="false"/>
                <w:bCs w:val="false"/>
                <w:i w:val="false"/>
                <w:iCs w:val="false"/>
                <w:lang w:val="pl-PL" w:eastAsia="zxx" w:bidi="zxx"/>
              </w:rPr>
              <w:t>liczba aktywnie prowadzonych stron internetowych - 3</w:t>
            </w:r>
          </w:p>
        </w:tc>
      </w:tr>
      <w:tr>
        <w:trPr/>
        <w:tc>
          <w:tcPr>
            <w:tcW w:w="96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Cel. IV. Prowadzenie edukacji i poradnictwa rodzinnego</w:t>
            </w:r>
          </w:p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1. Porady prawne i psychologiczne.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OIK, Organizacje Pozarządowe-Stowarzyszenia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- ilość udzielonych porad prawnych w placówkach wsparcia - 23</w:t>
            </w:r>
          </w:p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-  ilość udzielonych porad psychologicznych w placówkach wsparcia - 127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2. Praca socjalna w ramach MOPS, udzielanie pomocy materialnej.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 </w:t>
            </w:r>
            <w:r>
              <w:rPr>
                <w:lang w:val="pl-PL" w:eastAsia="zxx" w:bidi="zxx"/>
              </w:rPr>
              <w:t xml:space="preserve">MOPS 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-liczba rodzin objętych pracą socjalną - 177</w:t>
            </w:r>
          </w:p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- liczba rodzin objętych  pomocą materialną - 40 </w:t>
            </w:r>
          </w:p>
        </w:tc>
      </w:tr>
      <w:tr>
        <w:trPr/>
        <w:tc>
          <w:tcPr>
            <w:tcW w:w="3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3.  </w:t>
            </w:r>
            <w:r>
              <w:rPr>
                <w:b w:val="false"/>
                <w:bCs w:val="false"/>
                <w:lang w:val="pl-PL" w:eastAsia="zxx" w:bidi="zxx"/>
              </w:rPr>
              <w:t>Wsparcie w ramach Fundacji ,,Subvenio”.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Organizacje Pozarządowe-Stowarzyszenia,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objętych pomocą Fundacji – brak (Fundacja ,,Subvenio” od I. 2017r. nie działa na terenie Tomaszowa Maz.)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4. Wsparcie w ramach Ośrodka Interwencji Kryzysowej.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PCPR, OIK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porad rodzinnych - 48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warsztatów dla rodzin - 1</w:t>
            </w:r>
          </w:p>
        </w:tc>
      </w:tr>
      <w:tr>
        <w:trPr/>
        <w:tc>
          <w:tcPr>
            <w:tcW w:w="9661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V. Współpraca interdyscyplinarna służb społecznych</w:t>
            </w:r>
          </w:p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1. Wzajemna wymiana informacji na posiedzeniach Zespołu Interdyscyplinarnego i grup roboczych.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Sąd Rejonowy, KPP,  PCPR, MKRPA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uczestniczących w posiedzeniach Zespołu Interdyscyplinarnego - 15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uczestniczących w posiedzeniach grup roboczych - 479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2. Aktywny udział służb w debacie o bezpieczeństwie organizowanej na terenie Tomaszowa Maz.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KPP, MOPS, Sąd Rejonowy, PCPR 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 xml:space="preserve">- liczba służb społecznych biorących udział w debacie o bezpieczeństwie – 5 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inne służby: MKRPA, Poradnia Psychologiczno Pedagogiczna, Dyrektorzy, Wychowawcy i Pedagodzy Szkół, Fundacja ,,Arka Nadziei”.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3. Udział w konferencjach tematycznych i spotkaniach mających na celu wymianę informacji przedstawicieli różnych instytucji.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Sąd Rejonowy, KPP,  PCPR, MKRPA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ilość osób uczestniczących w konferencjach - 19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4. Wspólne wizyty przedstawicieli różnych służb w środowiskach zagrożonych przemocą domową.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Sąd  Rejonowy, KPP,  PCPR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ilość wspólnych interwencji w rodzinach dotkniętych problemem przemocy domowej - 78</w:t>
            </w:r>
          </w:p>
        </w:tc>
      </w:tr>
      <w:tr>
        <w:trPr/>
        <w:tc>
          <w:tcPr>
            <w:tcW w:w="9661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VI. Współpraca z mediami w zakresie edukacji i podniesienia poziomu wrażliwości społecznej na zjawisko przemocy w rodzinie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1. Akcje informacyjne w miejscowych mediach.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Zespół Interdyscyplinarny, Organizacje Pozarządowe-Stowarzyszenia, KPP.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ilość audycji w radio, telewizji i lokalnej prasie – 9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ilość rozpowszechnionych materiałów informacyjno edukacyjnych - 478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2. Wdrażanie kampanii przeciw przemocy.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MOPS, Zespół Interdyscyplinarny, PCPR, KPP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przeprowadzonych kampanii - 10</w:t>
            </w:r>
          </w:p>
        </w:tc>
      </w:tr>
      <w:tr>
        <w:trPr/>
        <w:tc>
          <w:tcPr>
            <w:tcW w:w="9661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 xml:space="preserve">VII. Podnoszenie kompetencji służb zajmujących się problematyką przemocy w rodzinie </w:t>
            </w:r>
          </w:p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1. Szkolenia osób realizujących zadania związane z przeciwdziałaniem przemocy na terenie miasta Tomaszowa Maz., ze szczególnym uwzględnieniem członków Zespołu Interdyscyplinarnego i grup roboczych.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Zespół Interdyscyplinarny,  Urząd Miasta- Wydział Spraw Społecznych i Promocji Zdrowia, KPP, Sąd Rejonowy, PCPR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przeszkolonych w zakresie przeciwdziałania przemocy - 130</w:t>
            </w:r>
          </w:p>
        </w:tc>
      </w:tr>
      <w:tr>
        <w:trPr/>
        <w:tc>
          <w:tcPr>
            <w:tcW w:w="9661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  <w:t>VIII. Działania korekcyjno – edukacyjne skierowane do sprawców przemocy w rodzinie</w:t>
            </w:r>
          </w:p>
          <w:p>
            <w:pPr>
              <w:pStyle w:val="Zawartotabeli"/>
              <w:rPr>
                <w:b/>
                <w:b/>
                <w:bCs/>
                <w:lang w:val="pl-PL" w:eastAsia="zxx" w:bidi="zxx"/>
              </w:rPr>
            </w:pPr>
            <w:r>
              <w:rPr>
                <w:b/>
                <w:bCs/>
                <w:lang w:val="pl-PL" w:eastAsia="zxx" w:bidi="zxx"/>
              </w:rPr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1. Zwiększenie efektywności działań o charakterze korekcyjnymi edukacyjnym wobec osób stosujących przemoc.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PCPR, KPP, Sąd Rejonowy, MKRPA, Organizacje Pozarządowe- Stowarzyszenia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uczestników w programach korekcyjno-edukacyjnych - 6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2. Działania motywujące do udziału w terapii leczenia uzależnień.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 xml:space="preserve">MKRPA, MOPS, KPP, Sąd Rejonowy, Organizacje Pozarządowe-Stowarzyszenia 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z którymi przeprowadzono rozmowy motywujące - 992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skierowanych do terapii leczenia uzależnień - 49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biorących czynny udział w terapii alkoholowej - 14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3. Przeprowadzanie z osobami stosującymi przemoc w rodzinie rozmów dyscyplinujących.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KPP, MOPS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sporządzonych druków Niebieskich Kart ,,D” - 136</w:t>
            </w:r>
          </w:p>
        </w:tc>
      </w:tr>
      <w:tr>
        <w:trPr/>
        <w:tc>
          <w:tcPr>
            <w:tcW w:w="316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4. Zwiększenie efektywności oddziaływań interwencyjnych.</w:t>
            </w:r>
          </w:p>
        </w:tc>
        <w:tc>
          <w:tcPr>
            <w:tcW w:w="205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KPP, MOPS</w:t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lang w:val="pl-PL" w:eastAsia="zxx" w:bidi="zxx"/>
              </w:rPr>
            </w:pPr>
            <w:r>
              <w:rPr>
                <w:lang w:val="pl-PL" w:eastAsia="zxx" w:bidi="zxx"/>
              </w:rPr>
              <w:t>I-XII. 2017r.</w:t>
            </w:r>
          </w:p>
        </w:tc>
        <w:tc>
          <w:tcPr>
            <w:tcW w:w="33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45" w:type="dxa"/>
            </w:tcMar>
          </w:tcPr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umieszczonych w Policyjnej Izbie Zatrzymań w ramach działań interwencyjnych - 103</w:t>
            </w:r>
          </w:p>
          <w:p>
            <w:pPr>
              <w:pStyle w:val="Zawartotabeli"/>
              <w:rPr>
                <w:b w:val="false"/>
                <w:b w:val="false"/>
                <w:bCs w:val="false"/>
                <w:lang w:val="pl-PL" w:eastAsia="zxx" w:bidi="zxx"/>
              </w:rPr>
            </w:pPr>
            <w:r>
              <w:rPr>
                <w:b w:val="false"/>
                <w:bCs w:val="false"/>
                <w:lang w:val="pl-PL" w:eastAsia="zxx" w:bidi="zxx"/>
              </w:rPr>
              <w:t>- liczba osób umieszczonych w mieszkaniach chronionych w ramach działań interwencyjnych - 13</w:t>
            </w:r>
          </w:p>
        </w:tc>
      </w:tr>
    </w:tbl>
    <w:p>
      <w:pPr>
        <w:pStyle w:val="Normal"/>
        <w:rPr>
          <w:b/>
          <w:b/>
          <w:bCs w:val="false"/>
          <w:i w:val="false"/>
          <w:i w:val="false"/>
          <w:iCs w:val="false"/>
          <w:sz w:val="24"/>
          <w:szCs w:val="24"/>
          <w:lang w:val="pl-PL" w:eastAsia="zxx" w:bidi="zxx"/>
        </w:rPr>
      </w:pPr>
      <w:r>
        <w:rPr>
          <w:b/>
          <w:bCs w:val="false"/>
          <w:i w:val="false"/>
          <w:iCs w:val="false"/>
          <w:sz w:val="24"/>
          <w:szCs w:val="24"/>
          <w:lang w:val="pl-PL" w:eastAsia="zxx" w:bidi="zxx"/>
        </w:rPr>
      </w:r>
    </w:p>
    <w:sectPr>
      <w:type w:val="nextPage"/>
      <w:pgSz w:w="11905" w:h="16837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auto"/>
    <w:pitch w:val="default"/>
  </w:font>
  <w:font w:name="Arial">
    <w:charset w:val="ee"/>
    <w:family w:val="swiss"/>
    <w:pitch w:val="variable"/>
  </w:font>
  <w:font w:name="Arial">
    <w:charset w:val="ee"/>
    <w:family w:val="swiss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/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/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/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/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  <w:rPr/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Normalny">
    <w:name w:val="Normalny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de-DE" w:eastAsia="ja-JP" w:bidi="fa-IR"/>
    </w:rPr>
  </w:style>
  <w:style w:type="paragraph" w:styleId="Default">
    <w:name w:val="Default"/>
    <w:basedOn w:val="Normal"/>
    <w:qFormat/>
    <w:pPr>
      <w:suppressAutoHyphens w:val="true"/>
      <w:kinsoku w:val="true"/>
      <w:overflowPunct w:val="true"/>
      <w:autoSpaceDE w:val="false"/>
      <w:bidi w:val="0"/>
      <w:jc w:val="left"/>
    </w:pPr>
    <w:rPr>
      <w:rFonts w:ascii="Arial" w:hAnsi="Arial" w:eastAsia="Arial" w:cs="Arial"/>
      <w:color w:val="000000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2747</TotalTime>
  <Application>LibreOffice/5.2.1.2$Windows_x86 LibreOffice_project/31dd62db80d4e60af04904455ec9c9219178d620</Application>
  <Pages>7</Pages>
  <Words>1351</Words>
  <CharactersWithSpaces>10607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pl-PL</dc:language>
  <cp:lastModifiedBy/>
  <cp:lastPrinted>2018-02-02T11:16:09Z</cp:lastPrinted>
  <dcterms:modified xsi:type="dcterms:W3CDTF">2018-02-02T11:19:33Z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